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cs="宋体"/>
          <w:color w:val="auto"/>
          <w:sz w:val="84"/>
          <w:szCs w:val="84"/>
          <w:highlight w:val="none"/>
        </w:rPr>
      </w:pPr>
      <w:r>
        <w:rPr>
          <w:rFonts w:ascii="宋体" w:cs="宋体"/>
          <w:color w:val="auto"/>
          <w:sz w:val="84"/>
          <w:szCs w:val="84"/>
          <w:highlight w:val="none"/>
        </w:rPr>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 州 市 政 府 采 购</w:t>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招  标  文  件</w:t>
      </w:r>
      <w:r/>
    </w:p>
    <w:p>
      <w:pPr>
        <w:jc w:val="center"/>
        <w:spacing w:line="360" w:lineRule="auto"/>
        <w:rPr>
          <w:rFonts w:ascii="宋体" w:cs="宋体"/>
          <w:color w:val="auto"/>
          <w:sz w:val="24"/>
          <w:highlight w:val="none"/>
        </w:rPr>
      </w:pPr>
      <w:r>
        <w:rPr>
          <w:rFonts w:ascii="宋体" w:cs="宋体"/>
          <w:color w:val="auto"/>
          <w:sz w:val="24"/>
          <w:highlight w:val="none"/>
        </w:rPr>
      </w:r>
      <w:r/>
    </w:p>
    <w:p>
      <w:pPr>
        <w:jc w:val="center"/>
        <w:spacing w:line="360" w:lineRule="auto"/>
        <w:rPr>
          <w:rFonts w:ascii="宋体" w:cs="宋体"/>
          <w:color w:val="auto"/>
          <w:sz w:val="24"/>
          <w:highlight w:val="none"/>
        </w:rPr>
      </w:pPr>
      <w:r>
        <w:rPr>
          <w:rFonts w:ascii="宋体" w:cs="宋体"/>
          <w:color w:val="auto"/>
          <w:sz w:val="24"/>
          <w:highlight w:val="none"/>
        </w:rPr>
      </w:r>
      <w:r/>
    </w:p>
    <w:p>
      <w:pPr>
        <w:spacing w:line="360" w:lineRule="auto"/>
        <w:rPr>
          <w:rFonts w:ascii="宋体" w:cs="宋体"/>
          <w:color w:val="auto"/>
          <w:sz w:val="32"/>
          <w:szCs w:val="32"/>
          <w:highlight w:val="none"/>
        </w:rPr>
      </w:pPr>
      <w:r>
        <w:rPr>
          <w:rFonts w:ascii="宋体" w:cs="宋体"/>
          <w:color w:val="auto"/>
          <w:sz w:val="32"/>
          <w:szCs w:val="32"/>
          <w:highlight w:val="none"/>
        </w:rPr>
      </w:r>
      <w:r/>
    </w:p>
    <w:p>
      <w:pPr>
        <w:ind w:firstLine="1802"/>
        <w:spacing w:line="360" w:lineRule="auto"/>
        <w:rPr>
          <w:rFonts w:ascii="宋体" w:cs="宋体"/>
          <w:b/>
          <w:bCs/>
          <w:color w:val="auto"/>
          <w:sz w:val="30"/>
          <w:szCs w:val="30"/>
          <w:highlight w:val="none"/>
        </w:rPr>
      </w:pPr>
      <w:r>
        <w:rPr>
          <w:rFonts w:hint="eastAsia" w:ascii="宋体" w:cs="宋体"/>
          <w:b/>
          <w:bCs/>
          <w:color w:val="auto"/>
          <w:sz w:val="30"/>
          <w:szCs w:val="30"/>
          <w:highlight w:val="none"/>
        </w:rPr>
        <w:t xml:space="preserve">采 购 人：苏州市自然资源和规划局</w:t>
      </w:r>
      <w:r/>
    </w:p>
    <w:p>
      <w:pPr>
        <w:ind w:firstLine="1802"/>
        <w:spacing w:line="360" w:lineRule="auto"/>
        <w:rPr>
          <w:rFonts w:hint="eastAsia" w:ascii="宋体" w:eastAsia="宋体" w:cs="宋体"/>
          <w:b/>
          <w:bCs/>
          <w:color w:val="auto"/>
          <w:sz w:val="30"/>
          <w:szCs w:val="30"/>
          <w:highlight w:val="none"/>
          <w:lang w:eastAsia="zh-CN"/>
        </w:rPr>
      </w:pPr>
      <w:r>
        <w:rPr>
          <w:rFonts w:hint="eastAsia" w:ascii="宋体" w:cs="宋体"/>
          <w:b/>
          <w:bCs/>
          <w:color w:val="auto"/>
          <w:sz w:val="30"/>
          <w:szCs w:val="30"/>
          <w:highlight w:val="none"/>
        </w:rPr>
        <w:t xml:space="preserve">项目编号：</w:t>
      </w:r>
      <w:r>
        <w:rPr>
          <w:rFonts w:hint="eastAsia" w:ascii="宋体" w:cs="宋体"/>
          <w:b/>
          <w:bCs/>
          <w:color w:val="auto"/>
          <w:sz w:val="30"/>
          <w:szCs w:val="30"/>
          <w:highlight w:val="none"/>
          <w:lang w:eastAsia="zh-CN"/>
        </w:rPr>
        <w:t xml:space="preserve">JSZC-320500-SZJX-G2025-0121</w:t>
      </w:r>
      <w:r/>
    </w:p>
    <w:p>
      <w:pPr>
        <w:ind w:firstLine="1802"/>
        <w:spacing w:line="360" w:lineRule="auto"/>
        <w:rPr>
          <w:rFonts w:ascii="宋体" w:cs="宋体"/>
          <w:b/>
          <w:bCs/>
          <w:color w:val="auto"/>
          <w:sz w:val="30"/>
          <w:szCs w:val="30"/>
          <w:highlight w:val="none"/>
        </w:rPr>
      </w:pPr>
      <w:r>
        <w:rPr>
          <w:rFonts w:hint="eastAsia" w:ascii="宋体" w:cs="宋体"/>
          <w:b/>
          <w:bCs/>
          <w:color w:val="auto"/>
          <w:sz w:val="30"/>
          <w:szCs w:val="30"/>
          <w:highlight w:val="none"/>
        </w:rPr>
        <w:t xml:space="preserve">项目名称：土地一级市场评估服务供应商</w:t>
      </w:r>
      <w:r/>
    </w:p>
    <w:p>
      <w:pPr>
        <w:ind w:firstLine="1802"/>
        <w:spacing w:line="360" w:lineRule="auto"/>
        <w:rPr>
          <w:rFonts w:ascii="宋体" w:cs="宋体"/>
          <w:b/>
          <w:bCs/>
          <w:color w:val="auto"/>
          <w:sz w:val="30"/>
          <w:szCs w:val="30"/>
          <w:highlight w:val="none"/>
        </w:rPr>
      </w:pPr>
      <w:r>
        <w:rPr>
          <w:rFonts w:hint="eastAsia" w:ascii="宋体" w:cs="宋体"/>
          <w:b/>
          <w:bCs/>
          <w:color w:val="auto"/>
          <w:sz w:val="30"/>
          <w:szCs w:val="30"/>
          <w:highlight w:val="none"/>
        </w:rPr>
        <w:t xml:space="preserve">项目类别：服务类</w:t>
      </w:r>
      <w:r/>
    </w:p>
    <w:p>
      <w:pPr>
        <w:pStyle w:val="913"/>
        <w:rPr>
          <w:rFonts w:ascii="宋体" w:cs="宋体"/>
          <w:color w:val="auto"/>
          <w:sz w:val="30"/>
          <w:szCs w:val="30"/>
          <w:highlight w:val="none"/>
        </w:rPr>
      </w:pPr>
      <w:r>
        <w:rPr>
          <w:rFonts w:ascii="宋体" w:cs="宋体"/>
          <w:color w:val="auto"/>
          <w:sz w:val="30"/>
          <w:szCs w:val="30"/>
          <w:highlight w:val="none"/>
        </w:rPr>
      </w:r>
      <w:r/>
    </w:p>
    <w:p>
      <w:pPr>
        <w:rPr>
          <w:color w:val="auto"/>
          <w:highlight w:val="none"/>
        </w:rPr>
      </w:pPr>
      <w:r>
        <w:rPr>
          <w:color w:val="auto"/>
          <w:highlight w:val="none"/>
        </w:rPr>
      </w:r>
      <w:r/>
    </w:p>
    <w:p>
      <w:pPr>
        <w:jc w:val="center"/>
        <w:spacing w:line="360" w:lineRule="auto"/>
        <w:rPr>
          <w:rFonts w:ascii="宋体" w:cs="宋体"/>
          <w:b/>
          <w:bCs/>
          <w:color w:val="auto"/>
          <w:sz w:val="30"/>
          <w:szCs w:val="30"/>
          <w:highlight w:val="none"/>
        </w:rPr>
      </w:pPr>
      <w:r>
        <w:rPr>
          <w:rFonts w:hint="eastAsia" w:ascii="宋体" w:cs="宋体"/>
          <w:b/>
          <w:bCs/>
          <w:color w:val="auto"/>
          <w:sz w:val="30"/>
          <w:szCs w:val="30"/>
          <w:highlight w:val="none"/>
        </w:rPr>
        <w:t xml:space="preserve">苏州捷信招投标咨询有限公司</w:t>
      </w:r>
      <w:r/>
    </w:p>
    <w:p>
      <w:pPr>
        <w:jc w:val="center"/>
        <w:spacing w:line="360" w:lineRule="auto"/>
        <w:rPr>
          <w:rFonts w:ascii="宋体" w:cs="宋体"/>
          <w:b/>
          <w:bCs/>
          <w:color w:val="auto"/>
          <w:sz w:val="30"/>
          <w:szCs w:val="30"/>
          <w:highlight w:val="none"/>
        </w:rPr>
      </w:pPr>
      <w:r>
        <w:rPr>
          <w:rFonts w:hint="eastAsia" w:ascii="宋体" w:cs="宋体"/>
          <w:b/>
          <w:bCs/>
          <w:color w:val="auto"/>
          <w:sz w:val="30"/>
          <w:szCs w:val="30"/>
          <w:highlight w:val="none"/>
        </w:rPr>
        <w:t xml:space="preserve">二零二五年十</w:t>
      </w:r>
      <w:r>
        <w:rPr>
          <w:rFonts w:hint="eastAsia" w:ascii="宋体" w:cs="宋体"/>
          <w:b/>
          <w:bCs/>
          <w:color w:val="auto"/>
          <w:sz w:val="30"/>
          <w:szCs w:val="30"/>
          <w:highlight w:val="none"/>
          <w:lang w:val="en-US" w:eastAsia="zh-CN"/>
        </w:rPr>
        <w:t xml:space="preserve">二</w:t>
      </w:r>
      <w:r>
        <w:rPr>
          <w:rFonts w:hint="eastAsia" w:ascii="宋体" w:cs="宋体"/>
          <w:b/>
          <w:bCs/>
          <w:color w:val="auto"/>
          <w:sz w:val="30"/>
          <w:szCs w:val="30"/>
          <w:highlight w:val="none"/>
        </w:rPr>
        <w:t xml:space="preserve">月</w:t>
      </w:r>
      <w:r/>
    </w:p>
    <w:p>
      <w:pPr>
        <w:rPr>
          <w:color w:val="auto"/>
          <w:highlight w:val="none"/>
        </w:rPr>
        <w:sectPr>
          <w:headerReference w:type="default" r:id="rId9"/>
          <w:footerReference w:type="default" r:id="rId11"/>
          <w:footnotePr/>
          <w:endnotePr/>
          <w:type w:val="nextPage"/>
          <w:pgSz w:w="11906" w:h="16838" w:orient="portrait"/>
          <w:pgMar w:top="1440" w:right="1083" w:bottom="1440" w:left="1083" w:header="850" w:footer="992" w:gutter="0"/>
          <w:cols w:num="1" w:sep="0" w:space="0" w:equalWidth="1"/>
          <w:docGrid w:linePitch="360"/>
        </w:sectPr>
      </w:pPr>
      <w:r>
        <w:rPr>
          <w:color w:val="auto"/>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投标须知前附表</w:t>
      </w:r>
      <w:r/>
    </w:p>
    <w:p>
      <w:pPr>
        <w:ind w:firstLine="48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本表是本招标项目的具体资料，是对投标人须知的具体补充和修改，如有矛盾，应</w:t>
      </w:r>
      <w:r>
        <w:rPr>
          <w:rFonts w:hint="eastAsia" w:ascii="宋体" w:hAnsi="宋体" w:cs="宋体"/>
          <w:b/>
          <w:color w:val="auto"/>
          <w:szCs w:val="21"/>
          <w:highlight w:val="none"/>
        </w:rPr>
        <w:t xml:space="preserve">以本表为准</w:t>
      </w:r>
      <w:r>
        <w:rPr>
          <w:rFonts w:hint="eastAsia" w:ascii="宋体" w:hAnsi="宋体" w:cs="宋体"/>
          <w:color w:val="auto"/>
          <w:szCs w:val="21"/>
          <w:highlight w:val="none"/>
        </w:rPr>
        <w:t xml:space="preserve">。</w:t>
      </w:r>
      <w:r/>
    </w:p>
    <w:tbl>
      <w:tblPr>
        <w:tblStyle w:val="719"/>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3"/>
        <w:gridCol w:w="8161"/>
      </w:tblGrid>
      <w:tr>
        <w:trPr>
          <w:jc w:val="center"/>
        </w:trPr>
        <w:tc>
          <w:tcPr>
            <w:tcW w:w="873"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8161"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内容</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161"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采购编号：</w:t>
            </w:r>
            <w:r>
              <w:rPr>
                <w:rFonts w:hint="eastAsia" w:ascii="宋体" w:hAnsi="宋体" w:cs="宋体"/>
                <w:color w:val="auto"/>
                <w:szCs w:val="21"/>
                <w:highlight w:val="none"/>
                <w:lang w:eastAsia="zh-CN"/>
              </w:rPr>
              <w:t xml:space="preserve">JSZC-320500-SZJX-G2025-0121</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采购内容：土地一级市场评估服务供应商（三个标段）</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项目预算：</w:t>
            </w:r>
            <w:r>
              <w:rPr>
                <w:rFonts w:hint="eastAsia" w:ascii="宋体" w:hAnsi="宋体" w:cs="宋体"/>
                <w:color w:val="auto"/>
                <w:szCs w:val="21"/>
                <w:highlight w:val="none"/>
              </w:rPr>
              <w:t xml:space="preserve">6730000.00元</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采购人：苏州市自然资源和规划局；地址：苏州市干将西路1018号</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联系人：许晨;  联系电话：0512-65290687</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采购代理机构：苏州捷信招投标咨询有限公司</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址：苏州市南园北路118号天和商务大厦6-206</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业务联系人：汪业超、丁亚萍;  联系电话：0512-65200361</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投标有效期：提交投标文件截止之日起</w:t>
            </w:r>
            <w:r>
              <w:rPr>
                <w:rFonts w:hint="eastAsia" w:ascii="宋体" w:hAnsi="宋体" w:cs="宋体"/>
                <w:color w:val="auto"/>
                <w:szCs w:val="21"/>
                <w:highlight w:val="none"/>
              </w:rPr>
              <w:t xml:space="preserve">90</w:t>
            </w:r>
            <w:r>
              <w:rPr>
                <w:rFonts w:hint="eastAsia" w:ascii="宋体" w:hAnsi="宋体" w:cs="宋体"/>
                <w:color w:val="auto"/>
                <w:szCs w:val="21"/>
                <w:highlight w:val="none"/>
                <w:lang w:val="zh-CN"/>
              </w:rPr>
              <w:t xml:space="preserve">日历日</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中标后由中标单位提供4份纸质投标文件。</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投标文件递交地点：“苏采云”系统（网址：http://jszfcg.jsczt.cn/）。投标文件网上提交，不需要现场参加采购活动，无需提供纸质投标文件。</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开标时间地点：苏州市市辖区【狮山科技馆】不见面开标室</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服务费的收取按差额定率累进法计算:预算金额100万以下费率为预算金额1.5%；预算金额100－500万费率为预算金额的1.1%预算金额500-1000万费率为预算金额的0.8%预算金额1000-5000万费率为预算金额的0.5%注：中标服务费的收取按差额定率累进法计算。服务费交纳帐户：苏州捷信招投标咨询有限公司；账号：543058195260；开户行：中国银行苏州南园支行。</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评标标准：详见第六章</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评标方法：详见第六章</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根据《关于印发&lt;苏州市政府采购促进中小企业发展实施意见&gt;的通知》的相关规定，本项目专门面向中小企业，所属行业为其他未列明行业，承接服务的供应商应为中小微企业或监狱企业或残疾人福利性单位。</w:t>
            </w:r>
            <w:r/>
          </w:p>
        </w:tc>
      </w:tr>
      <w:tr>
        <w:trPr>
          <w:jc w:val="center"/>
        </w:trPr>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816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导致无效标因素：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投标文件属下列情况之一的，在资格性、符合性检查时按照无效投标处理：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（一）未按照招标文件规定要求制作电子投标文件；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（二）不具备招标文件中规定资格要求的；</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（三）不符合法律、法规和招标文件中规定的其他实质性要求的；</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（四）其它在招标文件中已明确为无效标的。</w:t>
            </w:r>
            <w:r/>
          </w:p>
        </w:tc>
      </w:tr>
    </w:tbl>
    <w:p>
      <w:pPr>
        <w:rPr>
          <w:color w:val="auto"/>
          <w:highlight w:val="none"/>
        </w:rPr>
      </w:pPr>
      <w:r>
        <w:rPr>
          <w:color w:val="auto"/>
          <w:highlight w:val="none"/>
        </w:rPr>
        <w:br w:type="page" w:clear="all"/>
      </w:r>
      <w:r/>
    </w:p>
    <w:p>
      <w:pPr>
        <w:jc w:val="center"/>
        <w:spacing w:line="360" w:lineRule="auto"/>
        <w:rPr>
          <w:rFonts w:ascii="宋体" w:cs="宋体"/>
          <w:color w:val="auto"/>
          <w:sz w:val="32"/>
          <w:szCs w:val="32"/>
          <w:highlight w:val="none"/>
        </w:rPr>
      </w:pPr>
      <w:r>
        <w:rPr>
          <w:rFonts w:hint="eastAsia" w:ascii="宋体" w:cs="宋体"/>
          <w:color w:val="auto"/>
          <w:sz w:val="32"/>
          <w:szCs w:val="32"/>
          <w:highlight w:val="none"/>
        </w:rPr>
        <w:t xml:space="preserve">目录</w:t>
      </w:r>
      <w:r/>
    </w:p>
    <w:p>
      <w:pPr>
        <w:spacing w:line="360" w:lineRule="auto"/>
        <w:rPr>
          <w:rFonts w:ascii="宋体" w:cs="宋体"/>
          <w:color w:val="auto"/>
          <w:sz w:val="32"/>
          <w:szCs w:val="32"/>
          <w:highlight w:val="none"/>
        </w:rPr>
      </w:pPr>
      <w:r>
        <w:rPr>
          <w:rFonts w:ascii="宋体" w:cs="宋体"/>
          <w:color w:val="auto"/>
          <w:sz w:val="32"/>
          <w:szCs w:val="32"/>
          <w:highlight w:val="none"/>
        </w:rPr>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第一章 投标邀请函</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第二章投标人须知</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第三章投标文件格式</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第四章采购需求</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第五章合同主要条款</w:t>
      </w:r>
      <w:r/>
    </w:p>
    <w:p>
      <w:pPr>
        <w:spacing w:line="360" w:lineRule="auto"/>
        <w:widowControl/>
        <w:rPr>
          <w:rFonts w:ascii="宋体" w:cs="宋体"/>
          <w:color w:val="auto"/>
          <w:sz w:val="28"/>
          <w:szCs w:val="28"/>
          <w:highlight w:val="none"/>
        </w:rPr>
      </w:pPr>
      <w:r>
        <w:rPr>
          <w:rFonts w:hint="eastAsia" w:ascii="宋体" w:cs="宋体"/>
          <w:color w:val="auto"/>
          <w:sz w:val="28"/>
          <w:szCs w:val="28"/>
          <w:highlight w:val="none"/>
        </w:rPr>
        <w:t xml:space="preserve">第六章评分方法和评分标准</w:t>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center"/>
        <w:spacing w:line="360" w:lineRule="auto"/>
        <w:widowControl/>
        <w:rPr>
          <w:rFonts w:ascii="宋体" w:cs="宋体"/>
          <w:color w:val="auto"/>
          <w:sz w:val="32"/>
          <w:szCs w:val="32"/>
          <w:highlight w:val="none"/>
        </w:rPr>
      </w:pPr>
      <w:r>
        <w:rPr>
          <w:rFonts w:hint="eastAsia" w:ascii="宋体" w:cs="宋体"/>
          <w:b/>
          <w:color w:val="auto"/>
          <w:sz w:val="32"/>
          <w:szCs w:val="32"/>
          <w:highlight w:val="none"/>
        </w:rPr>
        <w:t xml:space="preserve">第一章投标邀请函</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6"/>
      </w:tblGrid>
      <w:tr>
        <w:trPr/>
        <w:tc>
          <w:tcPr>
            <w:tcW w:w="5000" w:type="pc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项目概况</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土地一级市场评估服务供应商</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 苏采云 </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2025年  12月 25日13点30分</w:t>
            </w:r>
            <w:r>
              <w:rPr>
                <w:rFonts w:hint="eastAsia" w:ascii="宋体" w:hAnsi="宋体" w:cs="宋体"/>
                <w:color w:val="auto"/>
                <w:szCs w:val="21"/>
                <w:highlight w:val="none"/>
              </w:rPr>
              <w:t xml:space="preserve">（北京时间）前提交投标文件。</w:t>
            </w:r>
            <w:r/>
          </w:p>
        </w:tc>
      </w:tr>
    </w:tbl>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JSZC-320500-SZJX-G2025-0121</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项目名称：土地一级市场评估服务供应商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采购预算（大写）：人民币 陆佰柒拾叁万元整（¥：6730000.00）；最高限价：/。</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采购需求：</w:t>
      </w:r>
      <w:r/>
    </w:p>
    <w:tbl>
      <w:tblPr>
        <w:tblStyle w:val="719"/>
        <w:tblW w:w="49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5577"/>
        <w:gridCol w:w="2503"/>
        <w:gridCol w:w="910"/>
      </w:tblGrid>
      <w:tr>
        <w:trPr/>
        <w:tc>
          <w:tcPr>
            <w:tcW w:w="476"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标段</w:t>
            </w:r>
            <w:r/>
          </w:p>
        </w:tc>
        <w:tc>
          <w:tcPr>
            <w:tcW w:w="2805"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标段内容</w:t>
            </w:r>
            <w:r/>
          </w:p>
        </w:tc>
        <w:tc>
          <w:tcPr>
            <w:tcW w:w="1259"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采购预算（最高限价）</w:t>
            </w:r>
            <w:r/>
          </w:p>
        </w:tc>
        <w:tc>
          <w:tcPr>
            <w:tcW w:w="457"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tc>
          <w:tcPr>
            <w:tcW w:w="476"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一</w:t>
            </w:r>
            <w:r/>
          </w:p>
        </w:tc>
        <w:tc>
          <w:tcPr>
            <w:tcW w:w="2805" w:type="pct"/>
            <w:textDirection w:val="lrTb"/>
            <w:noWrap w:val="false"/>
          </w:tcPr>
          <w:p>
            <w:pPr>
              <w:jc w:val="center"/>
              <w:spacing w:line="360" w:lineRule="auto"/>
              <w:rPr>
                <w:rFonts w:ascii="宋体" w:hAnsi="宋体"/>
                <w:color w:val="auto"/>
                <w:szCs w:val="21"/>
                <w:highlight w:val="none"/>
              </w:rPr>
            </w:pPr>
            <w:r>
              <w:rPr>
                <w:rFonts w:hint="eastAsia" w:asciiTheme="minorEastAsia" w:hAnsiTheme="minorEastAsia" w:eastAsiaTheme="minorEastAsia"/>
                <w:color w:val="auto"/>
                <w:szCs w:val="21"/>
                <w:highlight w:val="none"/>
              </w:rPr>
              <w:t xml:space="preserve">苏州市吴中区、苏州高新区</w:t>
            </w:r>
            <w:r/>
          </w:p>
        </w:tc>
        <w:tc>
          <w:tcPr>
            <w:tcW w:w="1259"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300</w:t>
            </w:r>
            <w:r/>
          </w:p>
        </w:tc>
        <w:tc>
          <w:tcPr>
            <w:tcW w:w="457"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476"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二</w:t>
            </w:r>
            <w:r/>
          </w:p>
        </w:tc>
        <w:tc>
          <w:tcPr>
            <w:tcW w:w="2805" w:type="pct"/>
            <w:textDirection w:val="lrTb"/>
            <w:noWrap w:val="false"/>
          </w:tcPr>
          <w:p>
            <w:pPr>
              <w:jc w:val="center"/>
              <w:spacing w:line="360" w:lineRule="auto"/>
              <w:rPr>
                <w:rFonts w:ascii="宋体" w:hAnsi="宋体"/>
                <w:color w:val="auto"/>
                <w:szCs w:val="21"/>
                <w:highlight w:val="none"/>
              </w:rPr>
            </w:pPr>
            <w:r>
              <w:rPr>
                <w:rFonts w:hint="eastAsia" w:asciiTheme="minorEastAsia" w:hAnsiTheme="minorEastAsia" w:eastAsiaTheme="minorEastAsia"/>
                <w:color w:val="auto"/>
                <w:szCs w:val="21"/>
                <w:highlight w:val="none"/>
              </w:rPr>
              <w:t xml:space="preserve">苏州市相城区、苏州工业园区（80平方公里以外区域）</w:t>
            </w:r>
            <w:r/>
          </w:p>
        </w:tc>
        <w:tc>
          <w:tcPr>
            <w:tcW w:w="1259"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240</w:t>
            </w:r>
            <w:r/>
          </w:p>
        </w:tc>
        <w:tc>
          <w:tcPr>
            <w:tcW w:w="457"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476"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三</w:t>
            </w:r>
            <w:r/>
          </w:p>
        </w:tc>
        <w:tc>
          <w:tcPr>
            <w:tcW w:w="2805" w:type="pct"/>
            <w:textDirection w:val="lrTb"/>
            <w:noWrap w:val="false"/>
          </w:tcPr>
          <w:p>
            <w:pPr>
              <w:jc w:val="center"/>
              <w:spacing w:line="360" w:lineRule="auto"/>
              <w:rPr>
                <w:rFonts w:ascii="宋体" w:hAnsi="宋体"/>
                <w:color w:val="auto"/>
                <w:szCs w:val="21"/>
                <w:highlight w:val="none"/>
              </w:rPr>
            </w:pPr>
            <w:r>
              <w:rPr>
                <w:rFonts w:hint="eastAsia" w:asciiTheme="minorEastAsia" w:hAnsiTheme="minorEastAsia" w:eastAsiaTheme="minorEastAsia"/>
                <w:color w:val="auto"/>
                <w:szCs w:val="21"/>
                <w:highlight w:val="none"/>
              </w:rPr>
              <w:t xml:space="preserve">苏州市姑苏区</w:t>
            </w:r>
            <w:r/>
          </w:p>
        </w:tc>
        <w:tc>
          <w:tcPr>
            <w:tcW w:w="1259"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133</w:t>
            </w:r>
            <w:r/>
          </w:p>
        </w:tc>
        <w:tc>
          <w:tcPr>
            <w:tcW w:w="457"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ascii="宋体" w:hAnsi="宋体"/>
                <w:color w:val="auto"/>
                <w:szCs w:val="21"/>
                <w:highlight w:val="none"/>
              </w:rPr>
            </w:r>
            <w:r/>
          </w:p>
        </w:tc>
      </w:tr>
    </w:tbl>
    <w:p>
      <w:pPr>
        <w:pStyle w:val="724"/>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注：（1）本项目</w:t>
      </w:r>
      <w:r>
        <w:rPr>
          <w:rFonts w:ascii="宋体" w:hAnsi="宋体" w:cs="宋体"/>
          <w:color w:val="auto"/>
          <w:szCs w:val="21"/>
          <w:highlight w:val="none"/>
        </w:rPr>
        <w:t xml:space="preserve">按实结算</w:t>
      </w:r>
      <w:r>
        <w:rPr>
          <w:rFonts w:hint="eastAsia" w:ascii="宋体" w:hAnsi="宋体" w:cs="宋体"/>
          <w:color w:val="auto"/>
          <w:szCs w:val="21"/>
          <w:highlight w:val="none"/>
        </w:rPr>
        <w:t xml:space="preserve">（基本折率*（1-优惠率））</w:t>
      </w:r>
      <w:r/>
    </w:p>
    <w:p>
      <w:pPr>
        <w:pStyle w:val="72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划分为3个标段。投标单位可选择其中一个或多个标段投标，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开标顺序按标段顺序：标段一、标段二、标段三。在合同签订之前，若某标段因质疑、投诉等事项导致中标结果改变的，不影响其它任何标段的中标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合同履行期限：各标段服务结算金额达到各标段采购预算金额或服务期满合同签订之日起两年先到为止。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本项目不接受联合体投标。</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根据《关于印发&lt;苏州市政府采购促进中小企业发展实施意见&gt;的通知》的相关规定，本项目专门面向中小企业，所属行业为其他未列明行业，承接服务的供应商应为中小微企业或监狱企业或残疾人福利性单位。</w:t>
      </w:r>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3、本项目的特定资格要求：须为经省级自然资源主管部门备案的土地估价（评估）机构（提供备案函）；</w:t>
      </w:r>
      <w:r/>
    </w:p>
    <w:p>
      <w:pPr>
        <w:pStyle w:val="721"/>
        <w:ind w:left="0" w:firstLine="420"/>
        <w:spacing w:line="360" w:lineRule="auto"/>
        <w:rPr>
          <w:rFonts w:ascii="宋体" w:hAnsi="宋体" w:cs="宋体"/>
          <w:bCs/>
          <w:color w:val="auto"/>
          <w:highlight w:val="none"/>
        </w:rPr>
      </w:pPr>
      <w:r>
        <w:rPr>
          <w:rFonts w:hint="eastAsia" w:ascii="宋体" w:hAnsi="宋体" w:cs="宋体"/>
          <w:bCs/>
          <w:color w:val="auto"/>
          <w:highlight w:val="none"/>
        </w:rPr>
        <w:t xml:space="preserve">4、联合体及转包、分包：本项目不接受联合体。不得转包、分包本项目。</w:t>
      </w:r>
      <w:r/>
    </w:p>
    <w:p>
      <w:pPr>
        <w:pStyle w:val="721"/>
        <w:ind w:left="0" w:firstLine="420"/>
        <w:spacing w:line="360" w:lineRule="auto"/>
        <w:rPr>
          <w:color w:val="auto"/>
          <w:highlight w:val="none"/>
        </w:rPr>
      </w:pPr>
      <w:r>
        <w:rPr>
          <w:rFonts w:hint="eastAsia" w:ascii="宋体" w:hAnsi="宋体" w:cs="宋体"/>
          <w:bCs/>
          <w:color w:val="auto"/>
          <w:highlight w:val="none"/>
        </w:rPr>
        <w:t xml:space="preserve">注：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1、报名时间：</w:t>
      </w:r>
      <w:r>
        <w:rPr>
          <w:rFonts w:hint="eastAsia" w:ascii="宋体" w:hAnsi="宋体" w:cs="宋体"/>
          <w:bCs/>
          <w:color w:val="auto"/>
          <w:szCs w:val="21"/>
          <w:highlight w:val="none"/>
        </w:rPr>
        <w:t xml:space="preserve">自公告发布之日起2025年 12月  11日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2、文件获取方式及售价：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2.1文件获取方式：江苏省政府采购一体化平台“苏采云”系统自行免费下载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2.2文件售价：免费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3、报名方式（网上报名）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3.1申领CA证书：</w:t>
      </w:r>
      <w:r/>
    </w:p>
    <w:p>
      <w:pPr>
        <w:ind w:firstLine="420"/>
        <w:jc w:val="left"/>
        <w:spacing w:line="360" w:lineRule="auto"/>
        <w:rPr>
          <w:rFonts w:hint="eastAsia" w:ascii="宋体" w:hAnsi="宋体" w:eastAsia="宋体" w:cs="宋体"/>
          <w:b/>
          <w:color w:val="auto"/>
          <w:szCs w:val="21"/>
          <w:highlight w:val="none"/>
          <w:lang w:eastAsia="zh-CN"/>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Cs w:val="21"/>
          <w:highlight w:val="none"/>
        </w:rPr>
        <w:t xml:space="preserve">苏州现场办理地址：苏州市高新区邓蔚路105号狮山科技馆一楼服务大厅</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电话：0512 6573 7699</w:t>
      </w:r>
      <w:r>
        <w:rPr>
          <w:rFonts w:hint="eastAsia" w:ascii="宋体" w:hAnsi="宋体" w:cs="宋体"/>
          <w:b/>
          <w:color w:val="auto"/>
          <w:szCs w:val="21"/>
          <w:highlight w:val="none"/>
          <w:lang w:eastAsia="zh-CN"/>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4、制作、提交电子投标文件：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本项目采用电子招投标方式，请供应商在“苏采云”系统中操作成功参与项目后，必须在“已参与项目”界面中下载电子采购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Style w:val="915"/>
          <w:rFonts w:hint="eastAsia" w:ascii="宋体" w:hAnsi="宋体" w:cs="宋体"/>
          <w:color w:val="auto"/>
          <w:szCs w:val="21"/>
          <w:highlight w:val="none"/>
        </w:rPr>
        <w:t xml:space="preserve">https://czju.suzhou.gov.cn/zfcg/html/content/20231220161910031.shtml</w:t>
      </w:r>
      <w:r>
        <w:rPr>
          <w:rStyle w:val="915"/>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）。请供应商按照《苏采云系统供应商操作手册》、采购文件要求进行制作、上传电子投标文件，投标单位无需提供纸质投标文件。</w:t>
      </w:r>
      <w:r>
        <w:rPr>
          <w:rFonts w:hint="eastAsia" w:ascii="宋体" w:hAnsi="宋体" w:cs="宋体"/>
          <w:b/>
          <w:color w:val="auto"/>
          <w:szCs w:val="21"/>
          <w:highlight w:val="none"/>
        </w:rPr>
        <w:t xml:space="preserve">电子投标文件制作完成后请在截止时间前完成提交（上传），否则视为放弃参加该采购项目。</w:t>
      </w:r>
      <w:r>
        <w:rPr>
          <w:rFonts w:hint="eastAsia" w:ascii="宋体" w:hAnsi="宋体" w:cs="宋体"/>
          <w:color w:val="auto"/>
          <w:szCs w:val="21"/>
          <w:highlight w:val="none"/>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四、提交投标文件时间、地点：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1、提交投标文件截止时间：2025年  12月  25日13点30分（北京时间）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b/>
          <w:color w:val="auto"/>
          <w:szCs w:val="21"/>
          <w:highlight w:val="none"/>
        </w:rPr>
        <w:t xml:space="preserve">“苏采云”系统（网址：http://jszfcg.jsczt.cn/）</w:t>
      </w:r>
      <w:r>
        <w:rPr>
          <w:rFonts w:hint="eastAsia" w:ascii="宋体" w:hAnsi="宋体" w:cs="宋体"/>
          <w:color w:val="auto"/>
          <w:szCs w:val="21"/>
          <w:highlight w:val="none"/>
        </w:rPr>
        <w:t xml:space="preserve">。投标文件网上提交，不需要现场参加采购活动，无需提供纸质投标文件。</w:t>
      </w:r>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五、开启投标文件时间、地点：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1、时间：2025年  12月  25日13点30分（北京时间）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w:t>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Cs w:val="21"/>
          <w:highlight w:val="none"/>
        </w:rPr>
        <w:t xml:space="preserve">本项目为不见面项目，</w:t>
      </w:r>
      <w:r>
        <w:rPr>
          <w:rFonts w:hint="eastAsia" w:ascii="宋体" w:hAnsi="宋体" w:cs="宋体"/>
          <w:b/>
          <w:color w:val="auto"/>
          <w:szCs w:val="21"/>
          <w:highlight w:val="none"/>
        </w:rPr>
        <w:t xml:space="preserve">开启阶段供应商在【供应商解密】环节必须使用 CA证书解密电子投标文件，如在系统规定的解密时间内未能完成解密的视为放弃参与本项目。</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请供应商确保电脑、系统及其他设备（视频输入输出设备等）无误，且开启直至项目结束始终保持系统在线状态。</w:t>
      </w:r>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六、评审时间、地点：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1、时间：2025年  12月  25日13点30分（北京时间）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2、地点：苏州市市辖区【狮山科技馆】不见面开标室；苏州市公共资源交易中心（政府采购）</w:t>
      </w:r>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七、公告期限：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八、其他补充事宜：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1、本次采购的有关信息将在江苏省政府采购网、苏州市政府采购网、中国政府采购网上发布；有关该采购项目的澄清、修正及成交等信息亦在以上网站发布，敬请留意。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2、政府采购监督电话：0512-68616651。</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4、如不同供应商使用同一台电脑制作的电子投标文件的，双方“文件制作机器码”一致的，则其投标文件将被认定为无效响应。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5、凡为采购项目提供整体设计、规范编制或者项目管理、监理、检测等服务的供应商，不得再参加本项目的采购活动。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6、根据苏州市财政局《关于深入开展苏州市政府采购合同信用融资业务的通知》相关要求，本项目支持政府采购合同信用融资。</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九、对本次招标提出询问，请按以下方式联系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1、采购人信息：苏州市自然资源和规划局</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址：苏州市干将西路1018号</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联系人：许晨</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联系电话：0512-65290687</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名称：苏州捷信招投标咨询有限公司。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地址：苏州市南园北路118号天和商务大厦6-206</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联系方式：0512-65200361</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项目联系人：汪业超、丁亚萍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张瑾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电话：0512-65200361</w:t>
      </w:r>
      <w:r/>
    </w:p>
    <w:p>
      <w:pPr>
        <w:rPr>
          <w:color w:val="auto"/>
          <w:highlight w:val="none"/>
        </w:rPr>
      </w:pPr>
      <w:r>
        <w:rPr>
          <w:color w:val="auto"/>
          <w:highlight w:val="none"/>
        </w:rPr>
        <w:br w:type="page" w:clear="all"/>
      </w:r>
      <w:r/>
    </w:p>
    <w:p>
      <w:pPr>
        <w:ind w:firstLine="482"/>
        <w:jc w:val="center"/>
        <w:spacing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第二章 投标人须知</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1、总则</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1.1投标人资格要求</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1.1.1详见第一章投标邀请函中“二、申请人的资格要求”。</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1.1.2投标人不得存在下列情形之一：</w:t>
      </w:r>
      <w:r/>
    </w:p>
    <w:p>
      <w:pPr>
        <w:numPr>
          <w:ilvl w:val="0"/>
          <w:numId w:val="4"/>
        </w:num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苏州市财政局《关于印发苏州市市级政府采购信用记录查询和使用工作试行办法的通知》（苏财购（2017）11号）、《关于在政府采购活动中甄别较大数额罚款有关事项的通知》（苏财购〔2021〕32号）文件规定应拒绝的失信信息。</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（3）单位负责人为同一人或者存在直接控股、管理关系的不同供应商，不得参加同一合同项下的政府采购活动。</w:t>
      </w:r>
      <w:r/>
    </w:p>
    <w:p>
      <w:pPr>
        <w:ind w:left="424"/>
        <w:spacing w:line="360" w:lineRule="auto"/>
        <w:tabs>
          <w:tab w:val="left" w:pos="851"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1.2 分包、转包</w:t>
      </w:r>
      <w:r/>
    </w:p>
    <w:p>
      <w:pPr>
        <w:ind w:left="424"/>
        <w:spacing w:line="360" w:lineRule="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本项目不允许分包或转包。</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1.3投标费用</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投标人应自行承担所有准备及参加投标的相关费用。</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1.4保密</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参与采购活动的各方应对招标文件和投标文件中的商业和技术等秘密保密，否则应承担相应的法律责任。</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1.5语言文字</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1.6计量单位</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除招标文件有特殊要求外，所有计量均采用中华人民共和国法定计量单位。</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1.7知识产权</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b/>
          <w:bCs/>
          <w:color w:val="auto"/>
          <w:szCs w:val="21"/>
          <w:highlight w:val="none"/>
        </w:rPr>
        <w:t xml:space="preserve">2、招标文件的说明</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2.1招标文件的获取见第一章投标邀请函。</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2.2招标文件的询问</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投标人在收到招标文件后，若有问题需要询问，</w:t>
      </w:r>
      <w:r>
        <w:rPr>
          <w:rFonts w:hint="eastAsia" w:ascii="宋体" w:hAnsi="宋体" w:cs="宋体"/>
          <w:color w:val="auto"/>
          <w:szCs w:val="21"/>
          <w:highlight w:val="none"/>
          <w:lang w:val="zh-CN"/>
        </w:rPr>
        <w:t xml:space="preserve">可在“</w:t>
      </w:r>
      <w:r>
        <w:rPr>
          <w:rFonts w:hint="eastAsia" w:ascii="宋体" w:hAnsi="宋体" w:cs="宋体"/>
          <w:color w:val="auto"/>
          <w:szCs w:val="21"/>
          <w:highlight w:val="none"/>
        </w:rPr>
        <w:t xml:space="preserve">苏采云</w:t>
      </w:r>
      <w:r>
        <w:rPr>
          <w:rFonts w:hint="eastAsia" w:ascii="宋体" w:hAnsi="宋体" w:cs="宋体"/>
          <w:color w:val="auto"/>
          <w:szCs w:val="21"/>
          <w:highlight w:val="none"/>
          <w:lang w:val="zh-CN"/>
        </w:rPr>
        <w:t xml:space="preserve">”网上交易系统中进行询问，询问信息不显示询问人的相关资料。代理机构通过网上交易系统收到询问后以网上答复的方式予以解答，询问人通过系统查阅。</w:t>
      </w:r>
      <w:r/>
    </w:p>
    <w:p>
      <w:pPr>
        <w:ind w:firstLine="426"/>
        <w:spacing w:line="360" w:lineRule="auto"/>
        <w:tabs>
          <w:tab w:val="left" w:pos="540" w:leader="none"/>
          <w:tab w:val="left" w:pos="600" w:leader="none"/>
          <w:tab w:val="left" w:pos="698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2.3招标文件的澄清或修改</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2.3.2为保证投标人有足够时间修正投标文件，或出于其他合理原因，采购人或采购代理机构可依法顺延投标截止时间和开标时间。</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2.3.3投标人应及时关注“苏州市政府采购网”发布的补充通知（包括更正公告），同时可以在“苏采云平台”中下载更正（补充）资料，如有遗漏（包括但不限于文件未下载或下载不完整），所造成的投标失败或损失由供应商自行负责。</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2.3.4招标文件的澄清、修改、补充等内容均以江苏省政府采购网、苏州市政府采购网、中国政府采购网上发布的内容为准。</w:t>
      </w:r>
      <w:r/>
    </w:p>
    <w:p>
      <w:pPr>
        <w:numPr>
          <w:ilvl w:val="0"/>
          <w:numId w:val="5"/>
        </w:num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b/>
          <w:bCs/>
          <w:color w:val="auto"/>
          <w:szCs w:val="21"/>
          <w:highlight w:val="none"/>
        </w:rPr>
        <w:t xml:space="preserve">投标文件的说明</w:t>
      </w:r>
      <w:r>
        <w:rPr>
          <w:rFonts w:hint="eastAsia" w:ascii="宋体" w:hAnsi="宋体" w:cs="宋体"/>
          <w:color w:val="auto"/>
          <w:szCs w:val="21"/>
          <w:highlight w:val="none"/>
        </w:rPr>
        <w:t xml:space="preserve">投标人应详细阅读招标文件的全部内容，不按招标文件的要求提供的投标文件和资料，其风险由投标人自行承担，并根据有关条款规定，可能导致投标无效。</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3.1投标保证金：无</w:t>
      </w:r>
      <w:r/>
    </w:p>
    <w:p>
      <w:pPr>
        <w:ind w:firstLine="420"/>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3.2投标文件的组成</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3.2.1封面</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3.2.2开标一览表（格式见第三章）</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3.2.3公开分项报价（如有，格式见第三章）</w:t>
      </w:r>
      <w:r/>
    </w:p>
    <w:p>
      <w:pPr>
        <w:ind w:firstLine="420"/>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3.2.4资格审查文件：</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（1）具有独立承担民事责任的能力的材料复印件：包括法人或者其他组织的营业执照等证明文件，自然人的身份证明；</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（2）具有良好的商业信誉和健全的财务会计制度的材料：包括但不限于法人提供2023年度或2024年度审计报告或基本开户银行在本年度内出具的资信证明复印件；</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（3）具有履行合同所必需的设备和专业技术能力的证明材料复印件或承诺；</w:t>
      </w:r>
      <w:r/>
    </w:p>
    <w:p>
      <w:pPr>
        <w:ind w:firstLine="420"/>
        <w:spacing w:line="360" w:lineRule="auto"/>
        <w:tabs>
          <w:tab w:val="left" w:pos="540" w:leader="none"/>
          <w:tab w:val="left" w:pos="600" w:leader="none"/>
        </w:tabs>
        <w:rPr>
          <w:rFonts w:ascii="宋体" w:hAnsi="宋体" w:cs="宋体"/>
          <w:color w:val="auto"/>
          <w:highlight w:val="none"/>
        </w:rPr>
      </w:pPr>
      <w:r>
        <w:rPr>
          <w:rFonts w:hint="eastAsia" w:ascii="宋体" w:hAnsi="宋体" w:cs="宋体"/>
          <w:color w:val="auto"/>
          <w:szCs w:val="21"/>
          <w:highlight w:val="none"/>
        </w:rPr>
        <w:t xml:space="preserve">（4）具有依法缴纳税收和社会保障资金的良好记录（投标单位应提供提交投标文件截止时间前一年内至少一个月依法缴纳税收及缴纳社会保障资金的证明材料，如相关主管部门证明或银行代扣证明。投标单位如依法享受缓缴、免缴税收、社会保障资金的应提供相关主管部门出具的证明材料）。</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（5）参加政府采购活动前三年内，在经营活动中没有出现重大违法记录的书面声明函；</w:t>
      </w:r>
      <w:r/>
    </w:p>
    <w:p>
      <w:pPr>
        <w:ind w:firstLine="420"/>
        <w:jc w:val="left"/>
        <w:spacing w:line="360" w:lineRule="auto"/>
        <w:rPr>
          <w:color w:val="auto"/>
          <w:highlight w:val="none"/>
        </w:rPr>
      </w:pPr>
      <w:r>
        <w:rPr>
          <w:rFonts w:hint="eastAsia" w:ascii="宋体" w:hAnsi="宋体" w:cs="宋体"/>
          <w:color w:val="auto"/>
          <w:szCs w:val="21"/>
          <w:highlight w:val="none"/>
        </w:rPr>
        <w:t xml:space="preserve">（6）</w:t>
      </w:r>
      <w:r>
        <w:rPr>
          <w:rFonts w:hint="eastAsia" w:ascii="宋体" w:hAnsi="宋体" w:cs="宋体"/>
          <w:b/>
          <w:bCs/>
          <w:color w:val="auto"/>
          <w:szCs w:val="21"/>
          <w:highlight w:val="none"/>
        </w:rPr>
        <w:t xml:space="preserve">须为经省级自然资源主管部门备案的土地估价（评估）机构（提供备案函）；</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（7）《中小企业声明函》或《残疾人福利性单位声明函》或由省级以上监狱管理局、戒毒管理局（含新疆生产建设兵团）出具的属于监狱企业的证明文件；</w:t>
      </w:r>
      <w:r/>
    </w:p>
    <w:p>
      <w:pPr>
        <w:ind w:firstLine="420"/>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3.2.5符合性审查文件</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3.2.5.1法定代表人身份证复印件；</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3.2.5.2法定代表人授权委托书及授权委托人身份证复印件（如有授权，格式见第三章）；</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3.2.5.3关于资格文件的声明函；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3.2.5.4投标函（格式见第三章）；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3.2.5.5投标人基本情况表（格式见第三章）；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3.2.5.6技术服务、商务偏离表、投标保证承诺书（格式见第三章）；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3.2.5.7作业人员配备一览表；</w:t>
      </w:r>
      <w:r/>
    </w:p>
    <w:p>
      <w:pPr>
        <w:ind w:firstLine="420"/>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3.2.6综合评审文件(见第六章)</w:t>
      </w:r>
      <w:r/>
    </w:p>
    <w:p>
      <w:pPr>
        <w:ind w:firstLine="420"/>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3.2.6.1所需材料详见第六章评分标准。与本次采购相关的其他证明材料；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3.2.6.2对属于《节能产品政府采购品目清单》政府强制采购产品的，需提供该产品有效期内的认证等相关证明材料（如有）；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3.2.6.3其他可以证明投标人资质、服务质量的证书、文件等相关资料。</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以上3.2.2-3.2.3项为投标人报价的依据，投标人必须提供并加盖公章，否则，投标文件将被认定为未实质性响应。</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以上3.2.4项为资格审查提供的资料，是作为对投标人资格审查、质疑身份认定的依据，投标人必须提供并加盖公章。否则，投标文件将被认定为不符合资格审查要求。</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以上3.2.5项为符合性审查提供的资料，投标人必须提供并加盖公章，否则，投标文件将被认定为未实质性响应。</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以上3.2.4-3.2.6项中不得出现投标总报价，否则视为非实质性响应招标文件要求。制作电子投标文件时需与投标文件制作软件目录一一对应，将相关资料上传至相应模块。</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供应商应保证上传的投标投标文件完整、清晰可辨认，若因上传资料过小或模糊不清等无法辨认的都视为该资料未提供。</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如投标人投标文件中某些条款不满足招标文件提出的全部服务内容与要求，须在投标文件中逐条列出，未列出的视同满足。</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如不同供应商使用同一台电脑制作的电子投标文件的，双方“文件制作机器码”一致的，则其投标文件将被认定为无效投标。</w:t>
      </w:r>
      <w:r/>
    </w:p>
    <w:p>
      <w:pPr>
        <w:ind w:firstLine="426"/>
        <w:spacing w:line="360" w:lineRule="auto"/>
        <w:tabs>
          <w:tab w:val="left" w:pos="540"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3.3投标报价：</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3.3.1投标报价应包括完成本招标项目全部内容的一切费用，除非合同条款中另有规定，投标人所报价格在合同实施期间不因市场变化因素而变动。</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3.3.2如果招标文件要求分标段投标的，则投标人可以根据自身经营许可范围，选择投标其中部分或者全部标段，但各标段应分别计算填写单价和总价。</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3.3.3投标人应对招标文件内所要采购的全部内容进行报价，只对其中部分内容报价的，投标无效。</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3.3.4 投标报价超过招标文件中规定的预算金额或者最高限价的，或者各标的物的单价超过该项预算单价的（针对招标文件标明预算单价的项目），其投标无效。</w:t>
      </w:r>
      <w:r/>
    </w:p>
    <w:p>
      <w:pPr>
        <w:ind w:firstLine="426"/>
        <w:spacing w:line="360" w:lineRule="auto"/>
        <w:tabs>
          <w:tab w:val="left" w:pos="540"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3.3.5一项投标内容只允许一个报价，任何有选择性投标报价的，其投标无效。</w:t>
      </w:r>
      <w:r/>
    </w:p>
    <w:p>
      <w:pPr>
        <w:ind w:firstLine="426"/>
        <w:spacing w:line="360" w:lineRule="auto"/>
        <w:tabs>
          <w:tab w:val="left" w:pos="540" w:leader="none"/>
          <w:tab w:val="left" w:pos="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3.3.6投标文件报价中的单价和总价全部采用人民币表示，除非另有规定。</w:t>
      </w:r>
      <w:r/>
    </w:p>
    <w:p>
      <w:pPr>
        <w:ind w:firstLine="426"/>
        <w:spacing w:line="360" w:lineRule="auto"/>
        <w:tabs>
          <w:tab w:val="left" w:pos="540" w:leader="none"/>
          <w:tab w:val="left" w:pos="60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3.3.7本项目为优惠率报价，优惠率</w:t>
      </w:r>
      <w:r>
        <w:rPr>
          <w:rFonts w:hint="eastAsia" w:ascii="宋体" w:hAnsi="宋体" w:eastAsia="宋体" w:cs="宋体"/>
          <w:color w:val="auto"/>
          <w:szCs w:val="21"/>
          <w:highlight w:val="none"/>
          <w:lang w:val="en-US" w:eastAsia="zh-CN"/>
        </w:rPr>
        <w:t xml:space="preserve">≦100%，否则投标无效。</w:t>
      </w:r>
      <w:r/>
    </w:p>
    <w:p>
      <w:pPr>
        <w:ind w:left="424"/>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3.4电子投标（响应）文件的编制与提交</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3.4.1本项目采用电子招投标形式，请供应商按照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3.4.2制作电子投标文件时，应按照招标文件要求加盖投标人电子公章。</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3.4.3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0"/>
      <w:r/>
      <w:bookmarkEnd w:id="1"/>
      <w:r/>
      <w:r/>
    </w:p>
    <w:p>
      <w:pPr>
        <w:pStyle w:val="917"/>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3.4.4</w:t>
      </w:r>
      <w:r>
        <w:rPr>
          <w:rFonts w:hint="eastAsia" w:ascii="宋体" w:hAnsi="宋体" w:cs="宋体"/>
          <w:color w:val="auto"/>
          <w:szCs w:val="21"/>
          <w:highlight w:val="none"/>
        </w:rPr>
        <w:t xml:space="preserve">投标人应当在投标截止时间前制作并上传电子投标文件。</w:t>
      </w:r>
      <w:r/>
    </w:p>
    <w:p>
      <w:pPr>
        <w:pStyle w:val="9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3.4.6</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中标后5个工作日内，中标单位向招标代理机构提供与电子投标文件内容一致的纸质投标文件四份。</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bCs/>
          <w:color w:val="auto"/>
          <w:szCs w:val="21"/>
          <w:highlight w:val="none"/>
        </w:rPr>
        <w:t xml:space="preserve">3.5</w:t>
      </w:r>
      <w:r>
        <w:rPr>
          <w:rFonts w:hint="eastAsia" w:ascii="宋体" w:hAnsi="宋体" w:cs="宋体"/>
          <w:b/>
          <w:color w:val="auto"/>
          <w:szCs w:val="21"/>
          <w:highlight w:val="none"/>
        </w:rPr>
        <w:t xml:space="preserve">投标文件的修改和撤回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4、开标和评标</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4.1开标</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4.1.1至投标文件提交截止时间，递交投标文件的投标人不足三家的，不得开标。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w:t>
      </w:r>
      <w:r>
        <w:rPr>
          <w:rFonts w:hint="eastAsia" w:ascii="宋体" w:hAnsi="宋体" w:cs="宋体"/>
          <w:color w:val="auto"/>
          <w:szCs w:val="21"/>
          <w:highlight w:val="none"/>
          <w:lang w:val="zh-CN"/>
        </w:rPr>
        <w:t xml:space="preserve">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w:t>
      </w:r>
      <w:r>
        <w:rPr>
          <w:rFonts w:hint="eastAsia" w:ascii="宋体" w:hAnsi="宋体" w:cs="宋体"/>
          <w:color w:val="auto"/>
          <w:szCs w:val="21"/>
          <w:highlight w:val="none"/>
          <w:lang w:val="zh-CN"/>
        </w:rPr>
        <w:t xml:space="preserve">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4.2资格审查</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4.2.1开标结束后，采购人应当依法对投标人的资格进行审查，未通过资格审查的投标无效。</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4.2.2信用查询：根据苏州市财政局《关于印发苏州市市级政府采购信用记录查询和使用工作试行办法的通知》（苏财购（2017）11号）文件的规定，采购人、采购代理机构对供应商进行信用查询。</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4.2.2.1查询时间：投标文件提交截止时间。</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4.2.2.2查询渠道：</w:t>
      </w:r>
      <w:r>
        <w:rPr>
          <w:rFonts w:hint="eastAsia" w:ascii="宋体" w:hAnsi="宋体" w:cs="宋体"/>
          <w:color w:val="auto"/>
          <w:szCs w:val="21"/>
          <w:highlight w:val="none"/>
          <w:lang w:val="zh-CN"/>
        </w:rPr>
        <w:t xml:space="preserve">在政府采购活动中通过“苏州政府采购交易管理平台”一键获取“信用中国”、“信用江苏”及中国政府采购网上的信用信息。</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4.2.2.3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4.2.2.4信用记录使用规则：评审小组在对供应商进行资格性审查时，应根据查询结果对供应商的不良信用记录逐项甄别确认。按照《中华人民共和国政府采购法》第二十二条规定，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4.3评标委员会</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4.3.4评标委员会成员应当按照客观、公正、审慎的原则，根据采购文件规定的评审程序、评审方法和评审标准进行独立评审。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4.4评标</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4.4.1符合性审查</w:t>
      </w:r>
      <w:r/>
    </w:p>
    <w:p>
      <w:pPr>
        <w:ind w:firstLine="484"/>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bCs/>
          <w:color w:val="auto"/>
          <w:szCs w:val="21"/>
          <w:highlight w:val="none"/>
        </w:rPr>
        <w:t xml:space="preserve">未满足本项目实质性要求的认定为无效投标。</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4.4.2投标文件的比较和评价</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4.4.2.2本项目采用综合评分法，即指投标文件满足招标文件全部实质性要求，且按照评审因素的量化指标评审得分最高的投标人为中标候选人的评标方法。评标办法和标准见第六章。</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4.4.2.3价格修正</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（四）总价金额与按单价汇总金额不一致的，以单价金额计算结果为准。</w:t>
      </w:r>
      <w:r/>
    </w:p>
    <w:p>
      <w:pPr>
        <w:ind w:firstLine="484"/>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w:t>
      </w:r>
      <w:r/>
    </w:p>
    <w:p>
      <w:pPr>
        <w:ind w:firstLine="484"/>
        <w:spacing w:line="360" w:lineRule="auto"/>
        <w:tabs>
          <w:tab w:val="left" w:pos="540" w:leader="none"/>
        </w:tabs>
        <w:rPr>
          <w:rFonts w:ascii="宋体" w:hAnsi="宋体" w:cs="宋体"/>
          <w:bCs/>
          <w:color w:val="auto"/>
          <w:szCs w:val="21"/>
          <w:highlight w:val="none"/>
        </w:rPr>
      </w:pPr>
      <w:r>
        <w:rPr>
          <w:rFonts w:hint="eastAsia" w:ascii="宋体" w:hAnsi="宋体" w:cs="宋体"/>
          <w:bCs/>
          <w:color w:val="auto"/>
          <w:szCs w:val="21"/>
          <w:highlight w:val="none"/>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ascii="宋体" w:hAnsi="宋体" w:cs="宋体"/>
          <w:bCs/>
          <w:color w:val="auto"/>
          <w:szCs w:val="21"/>
          <w:highlight w:val="none"/>
        </w:rPr>
      </w:pPr>
      <w:r>
        <w:rPr>
          <w:rFonts w:hint="eastAsia" w:ascii="宋体" w:hAnsi="宋体" w:cs="宋体"/>
          <w:bCs/>
          <w:color w:val="auto"/>
          <w:szCs w:val="21"/>
          <w:highlight w:val="none"/>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firstLine="480"/>
        <w:spacing w:line="360" w:lineRule="auto"/>
        <w:tabs>
          <w:tab w:val="left" w:pos="142" w:leader="none"/>
          <w:tab w:val="left" w:pos="600" w:leader="none"/>
        </w:tabs>
        <w:rPr>
          <w:rFonts w:ascii="宋体" w:hAnsi="宋体" w:cs="宋体"/>
          <w:bCs/>
          <w:color w:val="auto"/>
          <w:szCs w:val="21"/>
          <w:highlight w:val="none"/>
        </w:rPr>
      </w:pPr>
      <w:r>
        <w:rPr>
          <w:rFonts w:hint="eastAsia" w:ascii="宋体" w:hAnsi="宋体" w:cs="宋体"/>
          <w:bCs/>
          <w:color w:val="auto"/>
          <w:szCs w:val="21"/>
          <w:highlight w:val="none"/>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4.4.3投标的澄清</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4.4.3.2</w:t>
      </w: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5、废标</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5.1出现下列情形之一的，应予废标：</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（四）因重大变故，采购任务取消的。</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5.2废标后，采购人应当将废标理由通知所有投标人。</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5.3</w:t>
      </w:r>
      <w:r>
        <w:rPr>
          <w:rFonts w:ascii="宋体" w:hAnsi="宋体" w:cs="宋体"/>
          <w:color w:val="auto"/>
          <w:szCs w:val="21"/>
          <w:highlight w:val="none"/>
        </w:rPr>
        <w:t xml:space="preserve">公开招标数额标准以上的采购项目，投标截止后投标人不足3家或者通过资格审查或符合性审查的投标人不足3家的，除采购任务取消情形外，按照以下方式处理：</w:t>
      </w:r>
      <w:r/>
    </w:p>
    <w:p>
      <w:pPr>
        <w:ind w:firstLine="480"/>
        <w:spacing w:line="360" w:lineRule="auto"/>
        <w:tabs>
          <w:tab w:val="left" w:pos="142" w:leader="none"/>
          <w:tab w:val="left" w:pos="600" w:leader="none"/>
        </w:tabs>
        <w:rPr>
          <w:rFonts w:ascii="宋体" w:hAnsi="宋体" w:cs="宋体"/>
          <w:color w:val="auto"/>
          <w:szCs w:val="21"/>
          <w:highlight w:val="none"/>
        </w:rPr>
      </w:pPr>
      <w:r>
        <w:rPr>
          <w:rFonts w:ascii="宋体" w:hAnsi="宋体" w:cs="宋体"/>
          <w:color w:val="auto"/>
          <w:szCs w:val="21"/>
          <w:highlight w:val="none"/>
        </w:rPr>
        <w:t xml:space="preserve">（一）招标文件存在不合理条款或者</w:t>
      </w:r>
      <w:r>
        <w:rPr>
          <w:color w:val="auto"/>
          <w:highlight w:val="none"/>
        </w:rPr>
        <w:fldChar w:fldCharType="begin"/>
      </w:r>
      <w:r>
        <w:rPr>
          <w:color w:val="auto"/>
          <w:highlight w:val="none"/>
        </w:rPr>
        <w:instrText xml:space="preserve"> HYPERLINK "https://baike.baidu.com/item/%E6%8B%9B%E6%A0%87%E7%A8%8B%E5%BA%8F/12672391?fromModule=lemma_inlink" \t "/Users/carlosyc/Documentsx/_blank" </w:instrText>
      </w:r>
      <w:r>
        <w:rPr>
          <w:color w:val="auto"/>
          <w:highlight w:val="none"/>
        </w:rPr>
        <w:fldChar w:fldCharType="separate"/>
      </w:r>
      <w:r>
        <w:rPr>
          <w:rFonts w:ascii="宋体" w:hAnsi="宋体" w:cs="宋体"/>
          <w:color w:val="auto"/>
          <w:szCs w:val="21"/>
          <w:highlight w:val="none"/>
        </w:rPr>
        <w:t xml:space="preserve">招标程序</w:t>
      </w:r>
      <w:r>
        <w:rPr>
          <w:rFonts w:ascii="宋体" w:hAnsi="宋体" w:cs="宋体"/>
          <w:color w:val="auto"/>
          <w:szCs w:val="21"/>
          <w:highlight w:val="none"/>
        </w:rPr>
        <w:fldChar w:fldCharType="end"/>
      </w:r>
      <w:r>
        <w:rPr>
          <w:rFonts w:ascii="宋体" w:hAnsi="宋体" w:cs="宋体"/>
          <w:color w:val="auto"/>
          <w:szCs w:val="21"/>
          <w:highlight w:val="none"/>
        </w:rPr>
        <w:t xml:space="preserve">不符合规定的，采购人、采购代理机构改正后依法重新招标；</w:t>
      </w:r>
      <w:r/>
    </w:p>
    <w:p>
      <w:pPr>
        <w:ind w:firstLine="480"/>
        <w:spacing w:line="360" w:lineRule="auto"/>
        <w:tabs>
          <w:tab w:val="left" w:pos="142" w:leader="none"/>
          <w:tab w:val="left" w:pos="600" w:leader="none"/>
        </w:tabs>
        <w:rPr>
          <w:color w:val="auto"/>
          <w:highlight w:val="none"/>
        </w:rPr>
      </w:pPr>
      <w:r>
        <w:rPr>
          <w:rFonts w:ascii="宋体" w:hAnsi="宋体" w:cs="宋体"/>
          <w:color w:val="auto"/>
          <w:szCs w:val="21"/>
          <w:highlight w:val="none"/>
        </w:rPr>
        <w:t xml:space="preserve">（二）招标文件没有不合理条款、招标程序符合规定，需要采用其他采购方式采购的，采购人应当依法报财政部门批准。</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6、中标</w:t>
      </w:r>
      <w:r/>
    </w:p>
    <w:p>
      <w:pPr>
        <w:pStyle w:val="919"/>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6.1本项目评标方法采用综合评分法，即指投标文件满足招标文件全部实质性要求，且按照评审因素的量化指标评审得分最高的投标人为中标候选人的评标方法。</w:t>
      </w:r>
      <w:r/>
    </w:p>
    <w:p>
      <w:pPr>
        <w:pStyle w:val="919"/>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6.2评标结果按评审后得分由高到低顺序排列。得分相同的，按投标报价由低到高顺序排列。得分且投标报价相同的，则由评标委员会组织抽签确定中标候选人顺序。</w:t>
      </w:r>
      <w:r/>
    </w:p>
    <w:p>
      <w:pPr>
        <w:pStyle w:val="919"/>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6.3评标委员会在确定的中标候选人名单中按顺序确定中标单位，中标候选人并列的，按照招标文件规定的方式确定中标单位。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6.4确定出中标人后，采购代理机构在法定时间内向中标人发出中标通知书。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6.5中标通知书将成为合同的组成部分，对采购人和中标人具有同等法律效力。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6.6中标通知书发出后，采购人不得违法改变中标结果，中标人无正当理由不得放弃中标。</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7、履约保证金：无。</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8、合同的签订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8.1中标单位应按中标通知书中规定的时间和地点，由法定代表人或委托代理人与甲方代表签订合同,否则按放弃中标权处理。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8.5中标供应商无正当理由不得放弃中标。</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cs="宋体"/>
          <w:b/>
          <w:color w:val="auto"/>
          <w:szCs w:val="21"/>
          <w:highlight w:val="none"/>
        </w:rPr>
      </w:pPr>
      <w:r>
        <w:rPr>
          <w:rFonts w:hint="eastAsia" w:ascii="宋体" w:hAnsi="宋体" w:cs="宋体"/>
          <w:b/>
          <w:color w:val="auto"/>
          <w:szCs w:val="21"/>
          <w:highlight w:val="none"/>
        </w:rPr>
        <w:t xml:space="preserve">9、质疑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9.1质疑及答复遵守《政府采购质疑和投诉办法》（中华人民共和国财政部令第94号）规定。</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9.3本项目投标人应当在法定质疑期内一次性提出针对同一采购程序环节的质疑。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9.3.1</w:t>
      </w:r>
      <w:r>
        <w:rPr>
          <w:rFonts w:hint="eastAsia" w:ascii="宋体" w:hAnsi="宋体" w:cs="宋体"/>
          <w:color w:val="auto"/>
          <w:szCs w:val="21"/>
          <w:highlight w:val="none"/>
          <w:lang w:val="zh-CN"/>
        </w:rPr>
        <w:t xml:space="preserve">接受质疑函的方式：当场送达或邮寄方式。</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9.3.2</w:t>
      </w:r>
      <w:r>
        <w:rPr>
          <w:rFonts w:hint="eastAsia" w:ascii="宋体" w:hAnsi="宋体" w:cs="宋体"/>
          <w:color w:val="auto"/>
          <w:szCs w:val="21"/>
          <w:highlight w:val="none"/>
          <w:lang w:val="zh-CN"/>
        </w:rPr>
        <w:t xml:space="preserve">联系单位：</w:t>
      </w:r>
      <w:r>
        <w:rPr>
          <w:rFonts w:hint="eastAsia" w:ascii="宋体" w:hAnsi="宋体" w:cs="宋体"/>
          <w:color w:val="auto"/>
          <w:szCs w:val="21"/>
          <w:highlight w:val="none"/>
        </w:rPr>
        <w:t xml:space="preserve">苏州捷信招投标咨询有限公司</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9.3.3</w:t>
      </w:r>
      <w:r>
        <w:rPr>
          <w:rFonts w:hint="eastAsia" w:ascii="宋体" w:hAnsi="宋体" w:cs="宋体"/>
          <w:color w:val="auto"/>
          <w:szCs w:val="21"/>
          <w:highlight w:val="none"/>
          <w:lang w:val="zh-CN"/>
        </w:rPr>
        <w:t xml:space="preserve">收件人：</w:t>
      </w:r>
      <w:r>
        <w:rPr>
          <w:rFonts w:hint="eastAsia" w:ascii="宋体" w:hAnsi="宋体" w:cs="宋体"/>
          <w:color w:val="auto"/>
          <w:szCs w:val="21"/>
          <w:highlight w:val="none"/>
        </w:rPr>
        <w:t xml:space="preserve">王慧</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9.3.4</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0512-65200361</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9.3.5</w:t>
      </w:r>
      <w:r>
        <w:rPr>
          <w:rFonts w:hint="eastAsia" w:ascii="宋体" w:hAnsi="宋体" w:cs="宋体"/>
          <w:color w:val="auto"/>
          <w:szCs w:val="21"/>
          <w:highlight w:val="none"/>
          <w:lang w:val="zh-CN"/>
        </w:rPr>
        <w:t xml:space="preserve">通讯地址：</w:t>
      </w:r>
      <w:r>
        <w:rPr>
          <w:rFonts w:hint="eastAsia" w:ascii="宋体" w:hAnsi="宋体" w:cs="宋体"/>
          <w:color w:val="auto"/>
          <w:szCs w:val="21"/>
          <w:highlight w:val="none"/>
        </w:rPr>
        <w:t xml:space="preserve">苏州市南园北路118号天和商务大厦6-206</w:t>
      </w:r>
      <w:r/>
    </w:p>
    <w:p>
      <w:pPr>
        <w:ind w:firstLine="480"/>
        <w:spacing w:line="360" w:lineRule="auto"/>
        <w:tabs>
          <w:tab w:val="left" w:pos="142" w:leader="none"/>
          <w:tab w:val="left" w:pos="600" w:leader="none"/>
        </w:tabs>
        <w:rPr>
          <w:rFonts w:ascii="宋体" w:hAnsi="宋体" w:cs="宋体"/>
          <w:bCs/>
          <w:color w:val="auto"/>
          <w:szCs w:val="21"/>
          <w:highlight w:val="none"/>
        </w:rPr>
      </w:pPr>
      <w:r>
        <w:rPr>
          <w:rFonts w:hint="eastAsia" w:ascii="宋体" w:hAnsi="宋体" w:cs="宋体"/>
          <w:bCs/>
          <w:color w:val="auto"/>
          <w:szCs w:val="21"/>
          <w:highlight w:val="none"/>
        </w:rPr>
        <w:t xml:space="preserve">9.4未依照招标公告要求获取招标文件的供应商，视为未参加该项政府采购活动，不具备对该政府采购项目提出质疑的法定权利。</w:t>
      </w:r>
      <w:r/>
    </w:p>
    <w:p>
      <w:pPr>
        <w:ind w:firstLine="480"/>
        <w:spacing w:line="360" w:lineRule="auto"/>
        <w:tabs>
          <w:tab w:val="left" w:pos="142" w:leader="none"/>
          <w:tab w:val="left" w:pos="600" w:leader="none"/>
        </w:tabs>
        <w:rPr>
          <w:rFonts w:ascii="宋体" w:hAnsi="宋体" w:cs="宋体"/>
          <w:bCs/>
          <w:color w:val="auto"/>
          <w:szCs w:val="21"/>
          <w:highlight w:val="none"/>
        </w:rPr>
      </w:pPr>
      <w:r>
        <w:rPr>
          <w:rFonts w:hint="eastAsia" w:ascii="宋体" w:hAnsi="宋体" w:cs="宋体"/>
          <w:bCs/>
          <w:color w:val="auto"/>
          <w:szCs w:val="21"/>
          <w:highlight w:val="none"/>
        </w:rPr>
        <w:t xml:space="preserve">9.5招标文件内容质疑时，需提供在采购系统中下载本项目招标文件的《交易文件下载确认单》，未提供的视为未依照招标公告要求获取招标文件的供应商，不具备对该政府采购项目提出质疑的法定权利。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9.6接收质疑函的方式为书面形式（当场送达或邮寄方式）</w:t>
      </w:r>
      <w:r>
        <w:rPr>
          <w:rFonts w:hint="eastAsia" w:ascii="宋体" w:hAnsi="宋体" w:cs="宋体"/>
          <w:bCs/>
          <w:color w:val="auto"/>
          <w:szCs w:val="21"/>
          <w:highlight w:val="none"/>
        </w:rPr>
        <w:t xml:space="preserve">向采购人、采购代理机构提出质疑，联系人、联系电话和通讯地址等信息以采购公告中本次采购活动联系事项为准</w:t>
      </w:r>
      <w:r>
        <w:rPr>
          <w:rFonts w:hint="eastAsia" w:ascii="宋体" w:hAnsi="宋体" w:cs="宋体"/>
          <w:color w:val="auto"/>
          <w:szCs w:val="21"/>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cs="宋体"/>
          <w:color w:val="auto"/>
          <w:szCs w:val="21"/>
          <w:highlight w:val="none"/>
        </w:rPr>
        <w:t xml:space="preserve">政府采购供应商质疑函范本</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ind w:firstLine="5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10、投标文件的有效期</w:t>
      </w:r>
      <w:r/>
    </w:p>
    <w:p>
      <w:pPr>
        <w:ind w:firstLine="518"/>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10.1投标文件的有效期自提交投标文件的截止之日起90天，投标文件应保持有效。投标文件的有效期不明确或短于上述规定期限的，投标文件无效。</w:t>
      </w:r>
      <w:r/>
    </w:p>
    <w:p>
      <w:pPr>
        <w:ind w:firstLine="518"/>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10.2在特殊情况下，采购人可与供应商协商延长投标文件的有效期，这种要求和答复都应以书面形式进行。</w:t>
      </w:r>
      <w:r/>
    </w:p>
    <w:p>
      <w:pPr>
        <w:ind w:firstLine="5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11、代理服务费：由中标人承担。</w:t>
      </w:r>
      <w:r/>
    </w:p>
    <w:p>
      <w:pPr>
        <w:ind w:firstLine="518"/>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11.1代理服务费以采购预算金额为基数依据，按如下规定的标准和差额定率累进法进行计算收取：</w:t>
      </w:r>
      <w:r/>
    </w:p>
    <w:p>
      <w:pPr>
        <w:ind w:firstLine="518"/>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518"/>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11.2本项目代理服务费（人民币）：标段一 </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37000.00</w:t>
      </w:r>
      <w:r>
        <w:rPr>
          <w:rFonts w:hint="eastAsia" w:ascii="宋体" w:hAnsi="宋体" w:cs="宋体"/>
          <w:bCs/>
          <w:color w:val="auto"/>
          <w:szCs w:val="21"/>
          <w:highlight w:val="none"/>
        </w:rPr>
        <w:t xml:space="preserve">元；标段二</w:t>
      </w:r>
      <w:r>
        <w:rPr>
          <w:rFonts w:hint="eastAsia" w:ascii="宋体" w:hAnsi="宋体" w:cs="宋体"/>
          <w:bCs/>
          <w:color w:val="auto"/>
          <w:szCs w:val="21"/>
          <w:highlight w:val="none"/>
          <w:lang w:val="en-US" w:eastAsia="zh-CN"/>
        </w:rPr>
        <w:t xml:space="preserve">:30400.00</w:t>
      </w:r>
      <w:r>
        <w:rPr>
          <w:rFonts w:hint="eastAsia" w:ascii="宋体" w:hAnsi="宋体" w:cs="宋体"/>
          <w:bCs/>
          <w:color w:val="auto"/>
          <w:szCs w:val="21"/>
          <w:highlight w:val="none"/>
        </w:rPr>
        <w:t xml:space="preserve">元；标段三</w:t>
      </w:r>
      <w:r>
        <w:rPr>
          <w:rFonts w:hint="eastAsia" w:ascii="宋体" w:hAnsi="宋体" w:cs="宋体"/>
          <w:bCs/>
          <w:color w:val="auto"/>
          <w:szCs w:val="21"/>
          <w:highlight w:val="none"/>
          <w:lang w:val="en-US" w:eastAsia="zh-CN"/>
        </w:rPr>
        <w:t xml:space="preserve">:18630.00</w:t>
      </w:r>
      <w:r>
        <w:rPr>
          <w:rFonts w:hint="eastAsia" w:ascii="宋体" w:hAnsi="宋体" w:cs="宋体"/>
          <w:bCs/>
          <w:color w:val="auto"/>
          <w:szCs w:val="21"/>
          <w:highlight w:val="none"/>
        </w:rPr>
        <w:t xml:space="preserve">元；</w:t>
      </w:r>
      <w:r/>
    </w:p>
    <w:p>
      <w:pPr>
        <w:ind w:firstLine="518"/>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11.3代理服务费由中标人在领取中标通知书时一次性付清并含在其投标报价中。</w:t>
      </w:r>
      <w:r/>
    </w:p>
    <w:p>
      <w:pPr>
        <w:ind w:firstLine="518"/>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11.4中标人如果未按上述规定缴纳中标服务费，采购代理机构将保留诉讼的权利。</w:t>
      </w:r>
      <w:r/>
    </w:p>
    <w:p>
      <w:pPr>
        <w:ind w:firstLine="5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12、其他事项</w:t>
      </w:r>
      <w:r/>
    </w:p>
    <w:p>
      <w:pPr>
        <w:ind w:firstLine="518"/>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12.1招标过程将通过公证机关进行公证（如有）。</w:t>
      </w:r>
      <w:r/>
    </w:p>
    <w:p>
      <w:pPr>
        <w:pStyle w:val="918"/>
        <w:ind w:left="420" w:firstLine="82"/>
        <w:spacing w:line="36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12.2</w:t>
      </w:r>
      <w:r>
        <w:rPr>
          <w:rFonts w:hint="eastAsia" w:ascii="宋体" w:hAnsi="宋体" w:eastAsia="宋体" w:cs="宋体"/>
          <w:color w:val="auto"/>
          <w:sz w:val="21"/>
          <w:szCs w:val="21"/>
          <w:highlight w:val="none"/>
        </w:rPr>
        <w:t xml:space="preserve">按《中华人民共和国政府采购法》及其他有关政府采购的法律法规的规定执行。</w:t>
      </w:r>
      <w:r/>
    </w:p>
    <w:p>
      <w:pPr>
        <w:rPr>
          <w:color w:val="auto"/>
          <w:highlight w:val="none"/>
        </w:rPr>
      </w:pPr>
      <w:r>
        <w:rPr>
          <w:color w:val="auto"/>
          <w:highlight w:val="none"/>
        </w:rPr>
        <w:br w:type="page" w:clear="all"/>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第三章 投标文件格式</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1、投标函</w:t>
      </w:r>
      <w:r/>
    </w:p>
    <w:p>
      <w:pPr>
        <w:pStyle w:val="9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投标函</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苏州捷信招投标咨询有限公司：</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我们收到贵公司号招标文件，经仔细阅读和研究，我们决定参加投标。</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1、我们愿意按照招标文件的一切要求，提供完成该项目的全部内容。</w:t>
      </w:r>
      <w:r>
        <w:rPr>
          <w:rFonts w:hint="eastAsia" w:hAnsi="宋体" w:eastAsia="宋体" w:cs="宋体"/>
          <w:color w:val="auto"/>
          <w:sz w:val="21"/>
          <w:szCs w:val="21"/>
          <w:highlight w:val="none"/>
          <w:lang w:val="zh-CN"/>
        </w:rPr>
        <w:t xml:space="preserve">我方投标的报价包括完成本项工作所需的一切应有费用。</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2、如果我们的投标被接受，我们将严格履行招标文件中规定的每一项要求，严格履行合同的责任和义务，保证按期、按质履行合同，完成合同内容所规定的全部工作。</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3、我们同意按招标文件规定，本投标书的有效期限自提交投标文件的截止之日起90天。如果我们在开标后规定的投标有效期内撤回投标，我们愿承担一切责任。</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4、我们愿意提供招标文件中要求的所有资料，也同意向贵方提供贵方可能另外要求的与其投标有关的任何证据或资料，并保证所提供的资料全部是真实的、有效的，若有虚假，我们愿承担一切责任。</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5、我们认为你们有权决定中标人，还认为你们有权接受或拒绝投标人。</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6、我们愿意遵守招标公告及招标文件中所列的收费标准。</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7、我们承诺本项投标文件在开标后的全过程中保持有效。我们同意中标后若不履行投标文件的内容要求和各项承诺及义务的即被视为违约，我们愿承担一切责任。</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8、如果我们中标，我们愿意在签订合同时支付履约保证金（如有），并按招标文件规定支付中标服务费；</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9、与本投标有关的通讯地址：</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单位：                                 联系人：</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地址：                                 邮政编码：</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投标人（单位盖章）：</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法定代表人或代理人（签字或盖章）：        日期：  年   月   日</w:t>
      </w:r>
      <w:r/>
    </w:p>
    <w:p>
      <w:pPr>
        <w:pStyle w:val="920"/>
        <w:ind w:firstLine="48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ind w:firstLine="48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ind w:firstLine="48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ind w:firstLine="48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ind w:firstLine="48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ind w:firstLine="48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numPr>
          <w:ilvl w:val="0"/>
          <w:numId w:val="6"/>
        </w:numP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（投标人）法定代表人授权委托书</w:t>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法定代表人授权委托书</w:t>
      </w:r>
      <w:r/>
    </w:p>
    <w:p>
      <w:pPr>
        <w:pStyle w:val="918"/>
        <w:ind w:firstLine="48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姓名）系（单位名称）的法定代表人，现授权委托（单位名称）的（姓名）为我公司代理人，并以本公司的名义在号（采购编号）采购项目的开标、评标和合同签订过程中所签署的一切文件和处理与这有关的一切事务，我公司均予以承认。</w:t>
      </w:r>
      <w:r/>
    </w:p>
    <w:p>
      <w:pPr>
        <w:pStyle w:val="918"/>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18"/>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代理人无转委托权。特此委托。</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投标人（单位盖章）：</w:t>
      </w:r>
      <w:r/>
    </w:p>
    <w:p>
      <w:pPr>
        <w:pStyle w:val="918"/>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法定代表人：（签字或盖章）</w:t>
      </w:r>
      <w:r/>
    </w:p>
    <w:p>
      <w:pPr>
        <w:pStyle w:val="918"/>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代理人：（签字或盖章）</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918"/>
        <w:ind w:firstLine="48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1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21"/>
        <w:spacing w:line="360" w:lineRule="auto"/>
        <w:rPr>
          <w:rFonts w:hAnsi="宋体" w:eastAsia="宋体" w:cs="宋体"/>
          <w:b/>
          <w:color w:val="auto"/>
          <w:sz w:val="21"/>
          <w:szCs w:val="21"/>
          <w:highlight w:val="none"/>
        </w:rPr>
      </w:pPr>
      <w:r>
        <w:rPr>
          <w:rFonts w:hint="eastAsia" w:hAnsi="宋体" w:eastAsia="宋体" w:cs="宋体"/>
          <w:color w:val="auto"/>
          <w:sz w:val="21"/>
          <w:szCs w:val="21"/>
          <w:highlight w:val="none"/>
        </w:rPr>
        <w:br w:type="page" w:clear="all"/>
      </w:r>
      <w:r>
        <w:rPr>
          <w:rFonts w:hint="eastAsia" w:hAnsi="宋体" w:eastAsia="宋体" w:cs="宋体"/>
          <w:b/>
          <w:color w:val="auto"/>
          <w:sz w:val="21"/>
          <w:szCs w:val="21"/>
          <w:highlight w:val="none"/>
        </w:rPr>
        <w:t xml:space="preserve">3、开标一览表</w:t>
      </w:r>
      <w:r/>
    </w:p>
    <w:p>
      <w:pPr>
        <w:pStyle w:val="921"/>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开标一览表</w:t>
      </w:r>
      <w:r/>
    </w:p>
    <w:tbl>
      <w:tblPr>
        <w:tblStyle w:val="71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01"/>
        <w:gridCol w:w="1804"/>
        <w:gridCol w:w="7651"/>
      </w:tblGrid>
      <w:tr>
        <w:trPr>
          <w:jc w:val="center"/>
        </w:trPr>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优惠率</w:t>
            </w:r>
            <w:r/>
          </w:p>
        </w:tc>
      </w:tr>
      <w:tr>
        <w:trPr>
          <w:jc w:val="center"/>
          <w:trHeight w:val="969"/>
        </w:trPr>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589"/>
        </w:trPr>
        <w:tc>
          <w:tcPr>
            <w:gridSpan w:val="3"/>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服务期限：</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是否小微企业 : □中型   □小型   □微型   □否</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是否残疾人或监狱企业：□是    □否</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bl>
    <w:p>
      <w:pPr>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注：上述报价包含一切由供方承担的费用，各投标单位可参照上述格式自制《响应报价表》。</w:t>
      </w:r>
      <w:r/>
    </w:p>
    <w:p>
      <w:pPr>
        <w:pStyle w:val="918"/>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cs="宋体"/>
          <w:b/>
          <w:color w:val="auto"/>
          <w:szCs w:val="21"/>
          <w:highlight w:val="none"/>
        </w:rPr>
      </w:pPr>
      <w:r>
        <w:rPr>
          <w:rFonts w:hint="eastAsia" w:ascii="宋体" w:hAnsi="宋体" w:cs="宋体"/>
          <w:bCs/>
          <w:color w:val="auto"/>
          <w:szCs w:val="21"/>
          <w:highlight w:val="none"/>
        </w:rPr>
        <w:br w:type="page" w:clear="all"/>
      </w:r>
      <w:r/>
    </w:p>
    <w:p>
      <w:pPr>
        <w:pStyle w:val="759"/>
        <w:numPr>
          <w:ilvl w:val="0"/>
          <w:numId w:val="6"/>
        </w:numPr>
        <w:rPr>
          <w:rFonts w:ascii="宋体" w:hAnsi="宋体" w:cs="宋体"/>
          <w:b/>
          <w:bCs/>
          <w:color w:val="auto"/>
          <w:szCs w:val="21"/>
          <w:highlight w:val="none"/>
        </w:rPr>
      </w:pPr>
      <w:r>
        <w:rPr>
          <w:rFonts w:hint="eastAsia" w:ascii="宋体" w:hAnsi="宋体" w:cs="宋体"/>
          <w:b/>
          <w:bCs/>
          <w:color w:val="auto"/>
          <w:szCs w:val="21"/>
          <w:highlight w:val="none"/>
        </w:rPr>
        <w:t xml:space="preserve">投标报价明细表（格式自拟）</w:t>
      </w:r>
      <w:r/>
    </w:p>
    <w:p>
      <w:pPr>
        <w:jc w:val="center"/>
        <w:rPr>
          <w:rFonts w:ascii="宋体" w:hAnsi="宋体" w:cs="宋体"/>
          <w:b/>
          <w:color w:val="auto"/>
          <w:szCs w:val="21"/>
          <w:highlight w:val="none"/>
        </w:rPr>
      </w:pPr>
      <w:r>
        <w:rPr>
          <w:rFonts w:ascii="宋体" w:hAnsi="宋体" w:cs="宋体"/>
          <w:b/>
          <w:color w:val="auto"/>
          <w:szCs w:val="21"/>
          <w:highlight w:val="none"/>
        </w:rPr>
      </w:r>
      <w:r/>
    </w:p>
    <w:p>
      <w:pPr>
        <w:pStyle w:val="922"/>
        <w:spacing w:line="360" w:lineRule="auto"/>
        <w:rPr>
          <w:rFonts w:cs="宋体"/>
          <w:b/>
          <w:bCs/>
          <w:color w:val="auto"/>
          <w:szCs w:val="21"/>
          <w:highlight w:val="none"/>
        </w:rPr>
        <w:sectPr>
          <w:footnotePr/>
          <w:endnotePr/>
          <w:type w:val="nextPage"/>
          <w:pgSz w:w="11906" w:h="16838" w:orient="portrait"/>
          <w:pgMar w:top="1440" w:right="1083" w:bottom="1440" w:left="1083" w:header="850" w:footer="992" w:gutter="0"/>
          <w:cols w:num="1" w:sep="0" w:space="0" w:equalWidth="1"/>
          <w:docGrid w:linePitch="360"/>
        </w:sectPr>
      </w:pPr>
      <w:r>
        <w:rPr>
          <w:rFonts w:cs="宋体"/>
          <w:b/>
          <w:bCs/>
          <w:color w:val="auto"/>
          <w:szCs w:val="21"/>
          <w:highlight w:val="none"/>
        </w:rPr>
      </w:r>
      <w:r/>
    </w:p>
    <w:p>
      <w:pPr>
        <w:pStyle w:val="922"/>
        <w:ind w:left="-6"/>
        <w:spacing w:line="360" w:lineRule="auto"/>
        <w:rPr>
          <w:rFonts w:cs="宋体"/>
          <w:b/>
          <w:bCs/>
          <w:color w:val="auto"/>
          <w:szCs w:val="21"/>
          <w:highlight w:val="none"/>
        </w:rPr>
      </w:pPr>
      <w:r>
        <w:rPr>
          <w:rFonts w:hint="eastAsia" w:cs="宋体"/>
          <w:b/>
          <w:bCs/>
          <w:color w:val="auto"/>
          <w:szCs w:val="21"/>
          <w:highlight w:val="none"/>
        </w:rPr>
        <w:t xml:space="preserve">5、关于资格文件的声明函</w:t>
      </w:r>
      <w:r/>
    </w:p>
    <w:p>
      <w:pPr>
        <w:pStyle w:val="922"/>
        <w:spacing w:line="360" w:lineRule="auto"/>
        <w:rPr>
          <w:rFonts w:cs="宋体"/>
          <w:b/>
          <w:bCs/>
          <w:color w:val="auto"/>
          <w:szCs w:val="21"/>
          <w:highlight w:val="none"/>
        </w:rPr>
      </w:pPr>
      <w:r>
        <w:rPr>
          <w:rFonts w:cs="宋体"/>
          <w:b/>
          <w:bCs/>
          <w:color w:val="auto"/>
          <w:szCs w:val="21"/>
          <w:highlight w:val="none"/>
        </w:rPr>
      </w:r>
      <w:r/>
    </w:p>
    <w:p>
      <w:pPr>
        <w:pStyle w:val="922"/>
        <w:jc w:val="center"/>
        <w:spacing w:line="360" w:lineRule="auto"/>
        <w:rPr>
          <w:rFonts w:cs="宋体"/>
          <w:color w:val="auto"/>
          <w:szCs w:val="21"/>
          <w:highlight w:val="none"/>
        </w:rPr>
      </w:pPr>
      <w:r>
        <w:rPr>
          <w:rFonts w:hint="eastAsia" w:cs="宋体"/>
          <w:b/>
          <w:bCs/>
          <w:color w:val="auto"/>
          <w:szCs w:val="21"/>
          <w:highlight w:val="none"/>
        </w:rPr>
        <w:t xml:space="preserve">关于资格文件的声明函</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苏州捷信招投标咨询有限公司：</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本公司愿就由贵公司组织实施的编号为号的招标活动进行投标。本公司所提交的投标文件中所有关于投标资格的文件、证明和陈述均是真实的、准确的和有效的。若与事实情况不符，本公司愿意承担由此而产生的一切后果。</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投标人（单位盖章）：</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法定代表人或代理人（签字或盖章）：</w:t>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日期：     年     月     日</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742"/>
        <w:jc w:val="left"/>
        <w:spacing w:line="360" w:lineRule="auto"/>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6：项目组人员配备一览表</w:t>
      </w:r>
      <w:r/>
    </w:p>
    <w:p>
      <w:pPr>
        <w:pStyle w:val="742"/>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项目组人员配备一览表</w:t>
      </w:r>
      <w:r/>
    </w:p>
    <w:tbl>
      <w:tblPr>
        <w:tblStyle w:val="71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2"/>
        <w:gridCol w:w="813"/>
        <w:gridCol w:w="813"/>
        <w:gridCol w:w="813"/>
        <w:gridCol w:w="813"/>
        <w:gridCol w:w="1657"/>
        <w:gridCol w:w="1568"/>
        <w:gridCol w:w="2667"/>
      </w:tblGrid>
      <w:tr>
        <w:trPr>
          <w:trHeight w:val="182"/>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身份证号</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资格证书号</w:t>
            </w:r>
            <w:r/>
          </w:p>
        </w:tc>
        <w:tc>
          <w:tcPr>
            <w:tcBorders>
              <w:top w:val="single" w:color="auto" w:sz="4" w:space="0"/>
              <w:left w:val="single" w:color="auto" w:sz="4" w:space="0"/>
              <w:bottom w:val="single" w:color="auto" w:sz="4" w:space="0"/>
              <w:right w:val="single" w:color="auto" w:sz="4" w:space="0"/>
            </w:tcBorders>
            <w:tcW w:w="787" w:type="pct"/>
            <w:vAlign w:val="center"/>
            <w:textDirection w:val="lrTb"/>
            <w:noWrap w:val="false"/>
          </w:tcPr>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339" w:type="pct"/>
            <w:vAlign w:val="center"/>
            <w:textDirection w:val="lrTb"/>
            <w:noWrap w:val="false"/>
          </w:tcPr>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联系方式</w:t>
            </w:r>
            <w:r/>
          </w:p>
          <w:p>
            <w:pPr>
              <w:pStyle w:val="731"/>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（手机及电子信箱）</w:t>
            </w:r>
            <w:r/>
          </w:p>
        </w:tc>
      </w:tr>
      <w:tr>
        <w:trPr>
          <w:trHeight w:val="452"/>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7"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9"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7"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9" w:type="pct"/>
            <w:vAlign w:val="center"/>
            <w:textDirection w:val="lrTb"/>
            <w:noWrap w:val="false"/>
          </w:tcPr>
          <w:p>
            <w:pPr>
              <w:pStyle w:val="731"/>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933"/>
        <w:spacing w:line="360" w:lineRule="auto"/>
        <w:widowControl/>
        <w:rPr>
          <w:rFonts w:hint="default" w:hAnsi="宋体" w:cs="宋体"/>
          <w:color w:val="auto"/>
          <w:highlight w:val="none"/>
        </w:rPr>
      </w:pPr>
      <w:r>
        <w:rPr>
          <w:rFonts w:hAnsi="宋体" w:cs="宋体"/>
          <w:color w:val="auto"/>
          <w:highlight w:val="none"/>
        </w:rPr>
        <w:t xml:space="preserve">投标单位：（单位盖章）</w:t>
      </w:r>
      <w:r/>
    </w:p>
    <w:p>
      <w:pPr>
        <w:pStyle w:val="933"/>
        <w:spacing w:line="360" w:lineRule="auto"/>
        <w:widowControl/>
        <w:rPr>
          <w:rFonts w:hint="default" w:hAnsi="宋体" w:cs="宋体"/>
          <w:color w:val="auto"/>
          <w:highlight w:val="none"/>
        </w:rPr>
      </w:pPr>
      <w:r>
        <w:rPr>
          <w:rFonts w:hAnsi="宋体" w:cs="宋体"/>
          <w:color w:val="auto"/>
          <w:highlight w:val="none"/>
        </w:rPr>
        <w:t xml:space="preserve">法定代表人（负责人）或代理人：（签字或盖章）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rFonts w:hAnsi="宋体" w:cs="宋体"/>
          <w:color w:val="auto"/>
          <w:szCs w:val="21"/>
          <w:highlight w:val="none"/>
        </w:rPr>
      </w:pPr>
      <w:r>
        <w:rPr>
          <w:rFonts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42"/>
        <w:keepLines/>
        <w:keepNext/>
        <w:spacing w:before="260" w:after="260" w:line="480" w:lineRule="exact"/>
        <w:rPr>
          <w:rFonts w:ascii="宋体" w:hAnsi="宋体" w:cs="宋体"/>
          <w:bCs/>
          <w:color w:val="auto"/>
          <w:sz w:val="21"/>
          <w:szCs w:val="21"/>
          <w:highlight w:val="none"/>
        </w:rPr>
        <w:outlineLvl w:val="1"/>
      </w:pPr>
      <w:r>
        <w:rPr>
          <w:rFonts w:hint="eastAsia" w:ascii="宋体" w:hAnsi="宋体" w:cs="宋体"/>
          <w:b/>
          <w:bCs/>
          <w:color w:val="auto"/>
          <w:sz w:val="21"/>
          <w:szCs w:val="21"/>
          <w:highlight w:val="none"/>
        </w:rPr>
        <w:t xml:space="preserve">7：技术服务要求偏离表</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技术服务要求偏离表</w:t>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719"/>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注：1、投标人应对照招标文件要求，所提供的服务与招标文件的规定有偏离的，应在此表中申明与采购要求的偏差和例外。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2、未在上表中说明的，如在投标文件其他内容中已有文字说明的，则以已有文字说明为准，否则，将被认为完全响应招标文件的规定。</w:t>
      </w:r>
      <w:r/>
    </w:p>
    <w:p>
      <w:pPr>
        <w:pStyle w:val="725"/>
        <w:ind w:left="420"/>
        <w:widowControl/>
        <w:rPr>
          <w:color w:val="auto"/>
          <w:highlight w:val="none"/>
        </w:rPr>
      </w:pPr>
      <w:r>
        <w:rPr>
          <w:color w:val="auto"/>
          <w:highlight w:val="none"/>
        </w:rPr>
      </w:r>
      <w:r/>
    </w:p>
    <w:p>
      <w:pPr>
        <w:pStyle w:val="74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pStyle w:val="74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法定代表人（负责人）或代理人：（签字或盖章）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2"/>
        <w:jc w:val="left"/>
        <w:rPr>
          <w:rFonts w:ascii="宋体" w:hAnsi="宋体" w:cs="宋体"/>
          <w:b/>
          <w:color w:val="auto"/>
          <w:sz w:val="21"/>
          <w:szCs w:val="21"/>
          <w:highlight w:val="none"/>
        </w:rPr>
        <w:outlineLvl w:val="1"/>
      </w:pPr>
      <w:r>
        <w:rPr>
          <w:rFonts w:hint="eastAsia" w:ascii="宋体" w:hAnsi="宋体" w:cs="宋体"/>
          <w:bCs/>
          <w:color w:val="auto"/>
          <w:sz w:val="21"/>
          <w:szCs w:val="21"/>
          <w:highlight w:val="none"/>
        </w:rPr>
        <w:br w:type="page" w:clear="all"/>
      </w:r>
      <w:r>
        <w:rPr>
          <w:rFonts w:hint="eastAsia" w:ascii="宋体" w:hAnsi="宋体" w:cs="宋体"/>
          <w:b/>
          <w:color w:val="auto"/>
          <w:sz w:val="21"/>
          <w:szCs w:val="21"/>
          <w:highlight w:val="none"/>
        </w:rPr>
        <w:t xml:space="preserve">8：商务条款偏离表</w:t>
      </w:r>
      <w:r/>
    </w:p>
    <w:p>
      <w:pPr>
        <w:pStyle w:val="742"/>
        <w:jc w:val="left"/>
        <w:rPr>
          <w:rFonts w:ascii="宋体" w:hAnsi="宋体" w:cs="宋体"/>
          <w:b/>
          <w:color w:val="auto"/>
          <w:sz w:val="21"/>
          <w:szCs w:val="21"/>
          <w:highlight w:val="none"/>
        </w:rPr>
      </w:pPr>
      <w:r>
        <w:rPr>
          <w:rFonts w:ascii="宋体" w:hAnsi="宋体" w:cs="宋体"/>
          <w:b/>
          <w:color w:val="auto"/>
          <w:sz w:val="21"/>
          <w:szCs w:val="21"/>
          <w:highlight w:val="none"/>
        </w:rPr>
      </w:r>
      <w:r/>
    </w:p>
    <w:p>
      <w:pPr>
        <w:pStyle w:val="74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商务条款偏离表</w:t>
      </w:r>
      <w:r/>
    </w:p>
    <w:p>
      <w:pPr>
        <w:pStyle w:val="742"/>
        <w:jc w:val="left"/>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7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2243"/>
        <w:gridCol w:w="2802"/>
        <w:gridCol w:w="2802"/>
        <w:gridCol w:w="1281"/>
      </w:tblGrid>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6"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0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bl>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74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pStyle w:val="74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法定代表人（负责人）或代理人：（签字或盖章）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9：类似业绩一览表</w:t>
      </w:r>
      <w:r/>
    </w:p>
    <w:p>
      <w:pPr>
        <w:pStyle w:val="742"/>
        <w:ind w:firstLine="420"/>
        <w:jc w:val="center"/>
        <w:rPr>
          <w:rFonts w:ascii="宋体" w:hAnsi="宋体" w:cs="宋体"/>
          <w:b/>
          <w:color w:val="auto"/>
          <w:sz w:val="21"/>
          <w:szCs w:val="21"/>
          <w:highlight w:val="none"/>
        </w:rPr>
      </w:pPr>
      <w:r>
        <w:rPr>
          <w:rFonts w:ascii="宋体" w:hAnsi="宋体" w:cs="宋体"/>
          <w:b/>
          <w:color w:val="auto"/>
          <w:sz w:val="21"/>
          <w:szCs w:val="21"/>
          <w:highlight w:val="none"/>
        </w:rPr>
      </w:r>
      <w:r/>
    </w:p>
    <w:p>
      <w:pPr>
        <w:jc w:val="left"/>
        <w:spacing w:line="360" w:lineRule="auto"/>
        <w:rPr>
          <w:rFonts w:ascii="宋体" w:hAnsi="宋体" w:cs="Calibri"/>
          <w:b/>
          <w:color w:val="auto"/>
          <w:szCs w:val="21"/>
          <w:highlight w:val="none"/>
        </w:rPr>
      </w:pPr>
      <w:r>
        <w:rPr>
          <w:rFonts w:ascii="宋体" w:hAnsi="宋体" w:cs="Calibri"/>
          <w:b/>
          <w:color w:val="auto"/>
          <w:szCs w:val="21"/>
          <w:highlight w:val="none"/>
        </w:rPr>
      </w:r>
      <w:r/>
    </w:p>
    <w:p>
      <w:pPr>
        <w:pStyle w:val="742"/>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土地一级市场评估项目汇总表（标段）</w:t>
      </w:r>
      <w:r/>
    </w:p>
    <w:tbl>
      <w:tblPr>
        <w:tblStyle w:val="71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945"/>
        <w:gridCol w:w="945"/>
        <w:gridCol w:w="1154"/>
        <w:gridCol w:w="1254"/>
        <w:gridCol w:w="764"/>
        <w:gridCol w:w="1352"/>
        <w:gridCol w:w="1352"/>
        <w:gridCol w:w="1548"/>
      </w:tblGrid>
      <w:tr>
        <w:trPr>
          <w:jc w:val="center"/>
          <w:trHeight w:val="769"/>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483"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项目类型</w:t>
            </w:r>
            <w:r/>
          </w:p>
        </w:tc>
        <w:tc>
          <w:tcPr>
            <w:tcBorders>
              <w:top w:val="single" w:color="000000" w:sz="4" w:space="0"/>
              <w:left w:val="none" w:color="000000" w:sz="4" w:space="0"/>
              <w:bottom w:val="single" w:color="000000" w:sz="4" w:space="0"/>
              <w:right w:val="single" w:color="000000" w:sz="4" w:space="0"/>
            </w:tcBorders>
            <w:tcW w:w="483" w:type="pct"/>
            <w:vAlign w:val="center"/>
            <w:textDirection w:val="lrTb"/>
            <w:noWrap w:val="false"/>
          </w:tcPr>
          <w:p>
            <w:pPr>
              <w:jc w:val="center"/>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委托方</w:t>
            </w:r>
            <w:r/>
          </w:p>
        </w:tc>
        <w:tc>
          <w:tcPr>
            <w:tcBorders>
              <w:top w:val="single" w:color="000000" w:sz="4" w:space="0"/>
              <w:left w:val="none" w:color="000000" w:sz="4" w:space="0"/>
              <w:bottom w:val="single" w:color="000000" w:sz="4" w:space="0"/>
              <w:right w:val="single" w:color="000000" w:sz="4" w:space="0"/>
            </w:tcBorders>
            <w:tcW w:w="588" w:type="pct"/>
            <w:vAlign w:val="center"/>
            <w:textDirection w:val="lrTb"/>
            <w:noWrap w:val="false"/>
          </w:tcPr>
          <w:p>
            <w:pPr>
              <w:jc w:val="center"/>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土地坐落</w:t>
            </w:r>
            <w:r/>
          </w:p>
        </w:tc>
        <w:tc>
          <w:tcPr>
            <w:tcBorders>
              <w:top w:val="single" w:color="000000" w:sz="4" w:space="0"/>
              <w:left w:val="none" w:color="000000" w:sz="4" w:space="0"/>
              <w:bottom w:val="single" w:color="000000" w:sz="4" w:space="0"/>
              <w:right w:val="single" w:color="000000" w:sz="4" w:space="0"/>
            </w:tcBorders>
            <w:tcW w:w="638" w:type="pct"/>
            <w:vAlign w:val="center"/>
            <w:textDirection w:val="lrTb"/>
            <w:noWrap w:val="false"/>
          </w:tcPr>
          <w:p>
            <w:pPr>
              <w:jc w:val="center"/>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土地面积（平方米）</w:t>
            </w:r>
            <w:r/>
          </w:p>
        </w:tc>
        <w:tc>
          <w:tcPr>
            <w:tcBorders>
              <w:top w:val="single" w:color="000000" w:sz="4" w:space="0"/>
              <w:left w:val="none" w:color="000000" w:sz="4" w:space="0"/>
              <w:bottom w:val="single" w:color="000000" w:sz="4" w:space="0"/>
              <w:right w:val="single" w:color="000000" w:sz="4" w:space="0"/>
            </w:tcBorders>
            <w:tcW w:w="392" w:type="pct"/>
            <w:vAlign w:val="center"/>
            <w:textDirection w:val="lrTb"/>
            <w:noWrap w:val="false"/>
          </w:tcPr>
          <w:p>
            <w:pPr>
              <w:jc w:val="center"/>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土地用途</w:t>
            </w:r>
            <w:r/>
          </w:p>
        </w:tc>
        <w:tc>
          <w:tcPr>
            <w:tcBorders>
              <w:top w:val="single" w:color="000000" w:sz="4" w:space="0"/>
              <w:left w:val="none" w:color="000000" w:sz="4" w:space="0"/>
              <w:bottom w:val="single" w:color="000000" w:sz="4" w:space="0"/>
              <w:right w:val="single" w:color="000000" w:sz="4" w:space="0"/>
            </w:tcBorders>
            <w:tcW w:w="687" w:type="pct"/>
            <w:vAlign w:val="center"/>
            <w:textDirection w:val="lrTb"/>
            <w:noWrap w:val="false"/>
          </w:tcPr>
          <w:p>
            <w:pPr>
              <w:jc w:val="center"/>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评估总额（万元）</w:t>
            </w:r>
            <w:r/>
          </w:p>
        </w:tc>
        <w:tc>
          <w:tcPr>
            <w:tcBorders>
              <w:top w:val="single" w:color="000000" w:sz="4" w:space="0"/>
              <w:left w:val="none" w:color="000000" w:sz="4" w:space="0"/>
              <w:bottom w:val="single" w:color="000000" w:sz="4" w:space="0"/>
              <w:right w:val="single" w:color="000000" w:sz="4" w:space="0"/>
            </w:tcBorders>
            <w:tcW w:w="687" w:type="pct"/>
            <w:vAlign w:val="center"/>
            <w:textDirection w:val="lrTb"/>
            <w:noWrap w:val="false"/>
          </w:tcPr>
          <w:p>
            <w:pPr>
              <w:jc w:val="center"/>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报告编号</w:t>
            </w:r>
            <w:r/>
          </w:p>
        </w:tc>
        <w:tc>
          <w:tcPr>
            <w:tcBorders>
              <w:top w:val="single" w:color="000000" w:sz="4" w:space="0"/>
              <w:left w:val="none" w:color="000000" w:sz="4" w:space="0"/>
              <w:bottom w:val="single" w:color="000000" w:sz="4" w:space="0"/>
              <w:right w:val="single" w:color="000000" w:sz="4" w:space="0"/>
            </w:tcBorders>
            <w:tcW w:w="785" w:type="pct"/>
            <w:vAlign w:val="center"/>
            <w:textDirection w:val="lrTb"/>
            <w:noWrap w:val="false"/>
          </w:tcPr>
          <w:p>
            <w:pPr>
              <w:jc w:val="center"/>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电子备案号</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right"/>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83"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83"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88"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38" w:type="pct"/>
            <w:vAlign w:val="center"/>
            <w:textDirection w:val="lrTb"/>
            <w:noWrap w:val="false"/>
          </w:tcPr>
          <w:p>
            <w:pPr>
              <w:jc w:val="right"/>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2"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7" w:type="pct"/>
            <w:vAlign w:val="center"/>
            <w:textDirection w:val="lrTb"/>
            <w:noWrap w:val="false"/>
          </w:tcPr>
          <w:p>
            <w:pPr>
              <w:jc w:val="right"/>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7"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85" w:type="pct"/>
            <w:vAlign w:val="center"/>
            <w:textDirection w:val="lrTb"/>
            <w:noWrap w:val="false"/>
          </w:tcPr>
          <w:p>
            <w:pPr>
              <w:jc w:val="right"/>
              <w:spacing w:line="360" w:lineRule="auto"/>
              <w:rPr>
                <w:rFonts w:ascii="宋体" w:hAnsi="宋体" w:cs="Calibri"/>
                <w:color w:val="auto"/>
                <w:szCs w:val="21"/>
                <w:highlight w:val="none"/>
              </w:rPr>
            </w:pPr>
            <w:r>
              <w:rPr>
                <w:rFonts w:ascii="宋体" w:hAnsi="宋体" w:cs="Calibri"/>
                <w:color w:val="auto"/>
                <w:szCs w:val="21"/>
                <w:highlight w:val="none"/>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right"/>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83"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483"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88"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38" w:type="pct"/>
            <w:vAlign w:val="center"/>
            <w:textDirection w:val="lrTb"/>
            <w:noWrap w:val="false"/>
          </w:tcPr>
          <w:p>
            <w:pPr>
              <w:jc w:val="right"/>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2"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7" w:type="pct"/>
            <w:vAlign w:val="center"/>
            <w:textDirection w:val="lrTb"/>
            <w:noWrap w:val="false"/>
          </w:tcPr>
          <w:p>
            <w:pPr>
              <w:jc w:val="right"/>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7" w:type="pct"/>
            <w:vAlign w:val="center"/>
            <w:textDirection w:val="lrTb"/>
            <w:noWrap w:val="false"/>
          </w:tcPr>
          <w:p>
            <w:pPr>
              <w:spacing w:line="360" w:lineRule="auto"/>
              <w:rPr>
                <w:rFonts w:ascii="宋体" w:hAnsi="宋体" w:cs="Calibri"/>
                <w:color w:val="auto"/>
                <w:szCs w:val="21"/>
                <w:highlight w:val="none"/>
              </w:rPr>
            </w:pPr>
            <w:r>
              <w:rPr>
                <w:rFonts w:ascii="宋体" w:hAnsi="宋体" w:cs="Calibri"/>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85" w:type="pct"/>
            <w:vAlign w:val="center"/>
            <w:textDirection w:val="lrTb"/>
            <w:noWrap w:val="false"/>
          </w:tcPr>
          <w:p>
            <w:pPr>
              <w:jc w:val="right"/>
              <w:spacing w:line="360" w:lineRule="auto"/>
              <w:rPr>
                <w:rFonts w:ascii="宋体" w:hAnsi="宋体" w:cs="Calibri"/>
                <w:color w:val="auto"/>
                <w:szCs w:val="21"/>
                <w:highlight w:val="none"/>
              </w:rPr>
            </w:pPr>
            <w:r>
              <w:rPr>
                <w:rFonts w:ascii="宋体" w:hAnsi="宋体" w:cs="Calibri"/>
                <w:color w:val="auto"/>
                <w:szCs w:val="21"/>
                <w:highlight w:val="none"/>
              </w:rPr>
            </w:r>
            <w:r/>
          </w:p>
        </w:tc>
      </w:tr>
    </w:tbl>
    <w:p>
      <w:pPr>
        <w:ind w:firstLine="420"/>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注：需提供对应证明资料。</w:t>
      </w:r>
      <w:r/>
    </w:p>
    <w:p>
      <w:pPr>
        <w:spacing w:line="360" w:lineRule="auto"/>
        <w:rPr>
          <w:rFonts w:ascii="宋体" w:hAnsi="宋体" w:cs="Calibri"/>
          <w:color w:val="auto"/>
          <w:szCs w:val="21"/>
          <w:highlight w:val="none"/>
        </w:rPr>
      </w:pPr>
      <w:r>
        <w:rPr>
          <w:rFonts w:ascii="宋体" w:hAnsi="宋体" w:cs="Calibri"/>
          <w:color w:val="auto"/>
          <w:szCs w:val="21"/>
          <w:highlight w:val="none"/>
        </w:rPr>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投标单位（签章）：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法定代表人或授权委托人：（签字或签章）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10：投标单位情况表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单位盖章：                                       </w:t>
      </w:r>
      <w:r/>
    </w:p>
    <w:tbl>
      <w:tblPr>
        <w:tblStyle w:val="7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92"/>
        <w:gridCol w:w="912"/>
        <w:gridCol w:w="1670"/>
        <w:gridCol w:w="1441"/>
        <w:gridCol w:w="2037"/>
      </w:tblGrid>
      <w:tr>
        <w:trPr>
          <w:cantSplit/>
          <w:jc w:val="center"/>
          <w:trHeight w:val="482"/>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73"/>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ind w:firstLine="1260"/>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现有职工人数</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中高级以上职称的人数</w:t>
            </w:r>
            <w:r/>
          </w:p>
        </w:tc>
        <w:tc>
          <w:tcPr>
            <w:gridSpan w:val="2"/>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2"/>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技术负责人</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1、姓名        2、职称、        3、联系电话</w:t>
            </w:r>
            <w:r/>
          </w:p>
        </w:tc>
      </w:tr>
      <w:tr>
        <w:trPr>
          <w:cantSplit/>
          <w:jc w:val="center"/>
          <w:trHeight w:val="484"/>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财务负责人</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1、姓名        2、职称、        3、联系电话</w:t>
            </w:r>
            <w:r/>
          </w:p>
        </w:tc>
      </w:tr>
      <w:tr>
        <w:trPr>
          <w:cantSplit/>
          <w:jc w:val="center"/>
          <w:trHeight w:val="478"/>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ind w:firstLine="480"/>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年         万元；   </w:t>
            </w:r>
            <w:r/>
          </w:p>
        </w:tc>
      </w:tr>
      <w:tr>
        <w:trPr>
          <w:cantSplit/>
          <w:jc w:val="center"/>
          <w:trHeight w:val="508"/>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gridSpan w:val="2"/>
            <w:tcBorders>
              <w:top w:val="single" w:color="000000" w:sz="4" w:space="0"/>
              <w:left w:val="single" w:color="000000" w:sz="4" w:space="0"/>
              <w:bottom w:val="single" w:color="000000" w:sz="4" w:space="0"/>
              <w:right w:val="single" w:color="000000" w:sz="4" w:space="0"/>
            </w:tcBorders>
            <w:tcW w:w="1297"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企业简历</w:t>
            </w:r>
            <w:r/>
          </w:p>
        </w:tc>
        <w:tc>
          <w:tcPr>
            <w:gridSpan w:val="4"/>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w:t>
            </w:r>
            <w:r/>
          </w:p>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结果）</w:t>
            </w:r>
            <w:r/>
          </w:p>
        </w:tc>
      </w:tr>
      <w:tr>
        <w:trPr>
          <w:cantSplit/>
          <w:jc w:val="center"/>
          <w:trHeight w:val="1040"/>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最近3年内主要负责人有无经济犯罪被司法机关追究的情况及说明</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4"/>
        </w:trPr>
        <w:tc>
          <w:tcPr>
            <w:tcBorders>
              <w:top w:val="single" w:color="000000" w:sz="4" w:space="0"/>
              <w:left w:val="single" w:color="000000" w:sz="4" w:space="0"/>
              <w:bottom w:val="single" w:color="000000" w:sz="4" w:space="0"/>
              <w:right w:val="single" w:color="000000" w:sz="4" w:space="0"/>
            </w:tcBorders>
            <w:tcW w:w="1955" w:type="pct"/>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48"/>
        </w:trPr>
        <w:tc>
          <w:tcPr>
            <w:tcBorders>
              <w:top w:val="single" w:color="000000" w:sz="4" w:space="0"/>
              <w:left w:val="single" w:color="000000" w:sz="4" w:space="0"/>
              <w:bottom w:val="single" w:color="000000" w:sz="4" w:space="0"/>
              <w:right w:val="single" w:color="000000" w:sz="4" w:space="0"/>
            </w:tcBorders>
            <w:tcW w:w="1955" w:type="pct"/>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4"/>
            <w:tcBorders>
              <w:top w:val="single" w:color="000000" w:sz="4" w:space="0"/>
              <w:left w:val="single" w:color="000000" w:sz="4" w:space="0"/>
              <w:bottom w:val="single" w:color="000000" w:sz="4" w:space="0"/>
              <w:right w:val="single" w:color="000000" w:sz="4" w:space="0"/>
            </w:tcBorders>
            <w:tcW w:w="3044" w:type="pct"/>
            <w:textDirection w:val="lrTb"/>
            <w:noWrap w:val="false"/>
          </w:tcPr>
          <w:p>
            <w:pPr>
              <w:jc w:val="center"/>
              <w:spacing w:line="240" w:lineRule="atLeast"/>
              <w:rPr>
                <w:rFonts w:ascii="宋体" w:hAnsi="宋体" w:cs="宋体"/>
                <w:color w:val="auto"/>
                <w:szCs w:val="21"/>
                <w:highlight w:val="none"/>
              </w:rPr>
            </w:pPr>
            <w:r>
              <w:rPr>
                <w:rFonts w:ascii="宋体" w:hAnsi="宋体" w:cs="宋体"/>
                <w:color w:val="auto"/>
                <w:szCs w:val="21"/>
                <w:highlight w:val="none"/>
              </w:rPr>
            </w:r>
            <w:r/>
          </w:p>
        </w:tc>
      </w:tr>
    </w:tbl>
    <w:p>
      <w:pPr>
        <w:pStyle w:val="742"/>
        <w:ind w:firstLine="42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49"/>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49"/>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49"/>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49"/>
        <w:rPr>
          <w:color w:val="auto"/>
          <w:highlight w:val="none"/>
        </w:rPr>
      </w:pP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numPr>
          <w:ilvl w:val="0"/>
          <w:numId w:val="7"/>
        </w:num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w:t>
      </w:r>
      <w:r/>
    </w:p>
    <w:p>
      <w:pPr>
        <w:pStyle w:val="749"/>
        <w:ind w:firstLine="0"/>
        <w:jc w:val="center"/>
        <w:rPr>
          <w:rFonts w:hAnsi="宋体" w:cs="宋体"/>
          <w:b/>
          <w:color w:val="auto"/>
          <w:szCs w:val="21"/>
          <w:highlight w:val="none"/>
        </w:rPr>
      </w:pPr>
      <w:r>
        <w:rPr>
          <w:rFonts w:hint="eastAsia" w:hAnsi="宋体" w:cs="宋体"/>
          <w:b/>
          <w:color w:val="auto"/>
          <w:szCs w:val="21"/>
          <w:highlight w:val="none"/>
        </w:rPr>
        <w:t xml:space="preserve">中小企业声明函</w:t>
      </w:r>
      <w:r/>
    </w:p>
    <w:p>
      <w:pPr>
        <w:rPr>
          <w:color w:val="auto"/>
          <w:highlight w:val="none"/>
        </w:rPr>
      </w:pPr>
      <w:r>
        <w:rPr>
          <w:color w:val="auto"/>
          <w:highlight w:val="none"/>
        </w:rPr>
      </w:r>
      <w:r/>
    </w:p>
    <w:p>
      <w:pPr>
        <w:pStyle w:val="923"/>
        <w:ind w:right="130" w:firstLine="6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本公司郑重声明，根据《政府采购促进中小企业发展管理办法》（财库﹝2020﹞46 号）的规定，本公司参加</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  </w:t>
      </w:r>
      <w:r>
        <w:rPr>
          <w:rFonts w:hint="eastAsia" w:ascii="宋体" w:hAnsi="宋体" w:cs="宋体"/>
          <w:color w:val="auto"/>
          <w:szCs w:val="21"/>
          <w:highlight w:val="none"/>
        </w:rPr>
        <w:t xml:space="preserve">采购活动，服务全部由符合政策要求的中小企业承接。相关企业（若有联合体企业或分包单位，含联合体中的中小企业、签订分包意向协议的中小企业）的具体情况如下：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，从业人员人，营业收入为万元，资产总额为万元（注），属于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8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备注：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440" w:lineRule="exact"/>
        <w:rPr>
          <w:rFonts w:ascii="宋体" w:hAnsi="宋体" w:cs="宋体"/>
          <w:b/>
          <w:color w:val="auto"/>
          <w:szCs w:val="21"/>
          <w:highlight w:val="none"/>
        </w:rPr>
        <w:outlineLvl w:val="0"/>
      </w:pPr>
      <w:r>
        <w:rPr>
          <w:rFonts w:hint="eastAsia" w:ascii="宋体" w:hAnsi="宋体" w:cs="宋体"/>
          <w:color w:val="auto"/>
          <w:szCs w:val="21"/>
          <w:highlight w:val="none"/>
        </w:rPr>
        <w:t xml:space="preserve">5、中标供应商为中小企业的，《中小企业声明函》将随中标结果同时公告。</w:t>
      </w:r>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附：中小企业划型标准规定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（十四）物业管理。从业人员1000人以下或营业收入5000万元以下的为中小微型企业。其中，从业人员</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ascii="宋体" w:hAnsi="宋体" w:cs="宋体"/>
          <w:b/>
          <w:bCs/>
          <w:color w:val="auto"/>
          <w:szCs w:val="21"/>
          <w:highlight w:val="none"/>
        </w:rPr>
        <w:outlineLvl w:val="0"/>
      </w:pPr>
      <w:r>
        <w:rPr>
          <w:rFonts w:hint="eastAsia" w:ascii="宋体" w:hAnsi="宋体" w:cs="宋体"/>
          <w:color w:val="auto"/>
          <w:szCs w:val="21"/>
          <w:highlight w:val="none"/>
        </w:rPr>
        <w:br w:type="page" w:clear="all"/>
      </w:r>
      <w:r>
        <w:rPr>
          <w:rFonts w:hint="eastAsia" w:ascii="宋体" w:hAnsi="宋体" w:cs="宋体"/>
          <w:color w:val="auto"/>
          <w:szCs w:val="21"/>
          <w:highlight w:val="none"/>
        </w:rPr>
        <w:t xml:space="preserve">12</w:t>
      </w:r>
      <w:r>
        <w:rPr>
          <w:rFonts w:hint="eastAsia" w:ascii="宋体" w:hAnsi="宋体" w:cs="宋体"/>
          <w:b/>
          <w:bCs/>
          <w:color w:val="auto"/>
          <w:szCs w:val="21"/>
          <w:highlight w:val="none"/>
        </w:rPr>
        <w:t xml:space="preserve">、残疾人福利性单位声明函</w:t>
      </w:r>
      <w:r/>
    </w:p>
    <w:p>
      <w:pPr>
        <w:pStyle w:val="749"/>
        <w:rPr>
          <w:color w:val="auto"/>
          <w:highlight w:val="none"/>
        </w:rPr>
      </w:pPr>
      <w:r>
        <w:rPr>
          <w:color w:val="auto"/>
          <w:highlight w:val="none"/>
        </w:rPr>
      </w:r>
      <w:r/>
    </w:p>
    <w:p>
      <w:pPr>
        <w:jc w:val="center"/>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残疾人福利性单位声明函</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本单位对上述声明的真实性负责。如有虚假，将依法承担相应责任。</w:t>
      </w:r>
      <w:r/>
    </w:p>
    <w:p>
      <w:pP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pStyle w:val="918"/>
        <w:ind w:righ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918"/>
        <w:ind w:righ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pStyle w:val="918"/>
        <w:ind w:righ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pStyle w:val="9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numPr>
          <w:ilvl w:val="0"/>
          <w:numId w:val="7"/>
        </w:numP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投标保证承诺书</w:t>
      </w:r>
      <w:r/>
    </w:p>
    <w:p>
      <w:pPr>
        <w:pStyle w:val="920"/>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投标保证承诺书</w:t>
      </w:r>
      <w:r/>
    </w:p>
    <w:p>
      <w:pPr>
        <w:pStyle w:val="920"/>
        <w:jc w:val="center"/>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苏州捷信招投标咨询有限公司：</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我（单位/本人，以下统称我单位）自愿参加项目编号号的投标，并做出如下承诺：</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1、除不可抗力外，我单位如果发生以下行为，将在行为发生的10个工作日内，向贵方（或采购人）支付本采购文件公布的预算金额（或最高限价）的2％作为违约赔偿金（数量不确定的单价采购按壹万元计）。</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（1）自投标截止时间至本项目发布中标公告为止，撤销投标；</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（2）中标后不依法与采购人签订合同；</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（3）中标后不按本采购文件规定向采购人提交履约保证金；</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（4）中标后不按本采购文件规定向贵方缴纳采购代理费。</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2、我单位知晓上述行为的法律后果，承认本承诺书作为贵方（或采购人）要求我单位履行违约赔偿义务的依据作用。</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电话：</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传真：                                 邮编：</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电子邮件：</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投标人（单位盖章）：</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法定代表人和代理人（签字或盖章）：</w:t>
      </w:r>
      <w:r/>
    </w:p>
    <w:p>
      <w:pPr>
        <w:pStyle w:val="920"/>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widowControl/>
        <w:rPr>
          <w:rFonts w:ascii="宋体" w:cs="宋体"/>
          <w:b/>
          <w:color w:val="auto"/>
          <w:sz w:val="32"/>
          <w:szCs w:val="32"/>
          <w:highlight w:val="none"/>
        </w:rPr>
      </w:pPr>
      <w:r>
        <w:rPr>
          <w:rFonts w:hint="eastAsia" w:ascii="宋体" w:cs="宋体"/>
          <w:b/>
          <w:color w:val="auto"/>
          <w:sz w:val="32"/>
          <w:szCs w:val="32"/>
          <w:highlight w:val="none"/>
        </w:rPr>
        <w:t xml:space="preserve">第四章采购需求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苏州捷信招投标咨询有限公司受苏州市自然资源和规划局委托，对其要求采购的土地一级市场评估服务供应商项目进行公开招标，欢迎符合资格条件和具备履约能力的供应商单位前来参与。</w:t>
      </w:r>
      <w:r/>
    </w:p>
    <w:p>
      <w:pPr>
        <w:numPr>
          <w:ilvl w:val="0"/>
          <w:numId w:val="8"/>
        </w:numPr>
        <w:ind w:firstLine="420"/>
        <w:jc w:val="left"/>
        <w:spacing w:line="360" w:lineRule="auto"/>
        <w:rPr>
          <w:rFonts w:ascii="宋体" w:hAnsi="宋体" w:cs="宋体"/>
          <w:b/>
          <w:bCs/>
          <w:color w:val="auto"/>
          <w:szCs w:val="21"/>
          <w:highlight w:val="none"/>
        </w:rPr>
      </w:pPr>
      <w:r/>
      <w:bookmarkStart w:id="2" w:name="_Toc13642116"/>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eastAsia="zh-CN"/>
        </w:rPr>
        <w:t xml:space="preserve">JSZC-320500-SZJX-G2025-0121</w:t>
      </w:r>
      <w:r/>
    </w:p>
    <w:p>
      <w:pPr>
        <w:ind w:firstLine="420"/>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二、项目名称：</w:t>
      </w:r>
      <w:r>
        <w:rPr>
          <w:rFonts w:hint="eastAsia" w:ascii="宋体" w:hAnsi="宋体" w:cs="宋体"/>
          <w:color w:val="auto"/>
          <w:szCs w:val="21"/>
          <w:highlight w:val="none"/>
        </w:rPr>
        <w:t xml:space="preserve">土地一级市场评估服务供应商。</w:t>
      </w:r>
      <w:r/>
    </w:p>
    <w:p>
      <w:pPr>
        <w:ind w:firstLine="420"/>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三、采购预算：</w:t>
      </w:r>
      <w:r>
        <w:rPr>
          <w:rFonts w:hint="eastAsia" w:ascii="宋体" w:hAnsi="宋体" w:cs="宋体"/>
          <w:color w:val="auto"/>
          <w:szCs w:val="21"/>
          <w:highlight w:val="none"/>
        </w:rPr>
        <w:t xml:space="preserve">人民币 陆佰柒拾叁万元整（¥：6730000.00）</w:t>
      </w:r>
      <w:r/>
    </w:p>
    <w:tbl>
      <w:tblPr>
        <w:tblStyle w:val="719"/>
        <w:tblW w:w="49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5613"/>
        <w:gridCol w:w="2207"/>
        <w:gridCol w:w="1289"/>
      </w:tblGrid>
      <w:tr>
        <w:trPr/>
        <w:tc>
          <w:tcPr>
            <w:tcW w:w="417"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标段</w:t>
            </w:r>
            <w:r/>
          </w:p>
        </w:tc>
        <w:tc>
          <w:tcPr>
            <w:tcW w:w="2823"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标段内容</w:t>
            </w:r>
            <w:r/>
          </w:p>
        </w:tc>
        <w:tc>
          <w:tcPr>
            <w:tcW w:w="1110"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采购预算（最高限价）</w:t>
            </w:r>
            <w:r/>
          </w:p>
        </w:tc>
        <w:tc>
          <w:tcPr>
            <w:tcW w:w="648"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tc>
          <w:tcPr>
            <w:tcW w:w="417"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一</w:t>
            </w:r>
            <w:r/>
          </w:p>
        </w:tc>
        <w:tc>
          <w:tcPr>
            <w:tcW w:w="2823" w:type="pct"/>
            <w:textDirection w:val="lrTb"/>
            <w:noWrap w:val="false"/>
          </w:tcPr>
          <w:p>
            <w:pPr>
              <w:jc w:val="center"/>
              <w:spacing w:line="360" w:lineRule="auto"/>
              <w:rPr>
                <w:rFonts w:ascii="宋体" w:hAnsi="宋体"/>
                <w:color w:val="auto"/>
                <w:szCs w:val="21"/>
                <w:highlight w:val="none"/>
              </w:rPr>
            </w:pPr>
            <w:r>
              <w:rPr>
                <w:rFonts w:hint="eastAsia" w:asciiTheme="minorEastAsia" w:hAnsiTheme="minorEastAsia" w:eastAsiaTheme="minorEastAsia"/>
                <w:color w:val="auto"/>
                <w:szCs w:val="21"/>
                <w:highlight w:val="none"/>
              </w:rPr>
              <w:t xml:space="preserve">苏州市吴中区、苏州高新区</w:t>
            </w:r>
            <w:r/>
          </w:p>
        </w:tc>
        <w:tc>
          <w:tcPr>
            <w:tcW w:w="1110"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300</w:t>
            </w:r>
            <w:r/>
          </w:p>
        </w:tc>
        <w:tc>
          <w:tcPr>
            <w:tcW w:w="648"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417"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二</w:t>
            </w:r>
            <w:r/>
          </w:p>
        </w:tc>
        <w:tc>
          <w:tcPr>
            <w:tcW w:w="2823" w:type="pct"/>
            <w:textDirection w:val="lrTb"/>
            <w:noWrap w:val="false"/>
          </w:tcPr>
          <w:p>
            <w:pPr>
              <w:jc w:val="center"/>
              <w:spacing w:line="360" w:lineRule="auto"/>
              <w:rPr>
                <w:rFonts w:ascii="宋体" w:hAnsi="宋体"/>
                <w:color w:val="auto"/>
                <w:szCs w:val="21"/>
                <w:highlight w:val="none"/>
              </w:rPr>
            </w:pPr>
            <w:r>
              <w:rPr>
                <w:rFonts w:hint="eastAsia" w:asciiTheme="minorEastAsia" w:hAnsiTheme="minorEastAsia" w:eastAsiaTheme="minorEastAsia"/>
                <w:color w:val="auto"/>
                <w:szCs w:val="21"/>
                <w:highlight w:val="none"/>
              </w:rPr>
              <w:t xml:space="preserve">苏州市相城区、苏州工业园区（80平方公里以外区域）</w:t>
            </w:r>
            <w:r/>
          </w:p>
        </w:tc>
        <w:tc>
          <w:tcPr>
            <w:tcW w:w="1110"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240</w:t>
            </w:r>
            <w:r/>
          </w:p>
        </w:tc>
        <w:tc>
          <w:tcPr>
            <w:tcW w:w="648"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417"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三</w:t>
            </w:r>
            <w:r/>
          </w:p>
        </w:tc>
        <w:tc>
          <w:tcPr>
            <w:tcW w:w="2823" w:type="pct"/>
            <w:textDirection w:val="lrTb"/>
            <w:noWrap w:val="false"/>
          </w:tcPr>
          <w:p>
            <w:pPr>
              <w:jc w:val="center"/>
              <w:spacing w:line="360" w:lineRule="auto"/>
              <w:rPr>
                <w:rFonts w:ascii="宋体" w:hAnsi="宋体"/>
                <w:color w:val="auto"/>
                <w:szCs w:val="21"/>
                <w:highlight w:val="none"/>
              </w:rPr>
            </w:pPr>
            <w:r>
              <w:rPr>
                <w:rFonts w:hint="eastAsia" w:asciiTheme="minorEastAsia" w:hAnsiTheme="minorEastAsia" w:eastAsiaTheme="minorEastAsia"/>
                <w:color w:val="auto"/>
                <w:szCs w:val="21"/>
                <w:highlight w:val="none"/>
              </w:rPr>
              <w:t xml:space="preserve">苏州市姑苏区</w:t>
            </w:r>
            <w:r/>
          </w:p>
        </w:tc>
        <w:tc>
          <w:tcPr>
            <w:tcW w:w="1110"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133</w:t>
            </w:r>
            <w:r/>
          </w:p>
        </w:tc>
        <w:tc>
          <w:tcPr>
            <w:tcW w:w="648" w:type="pct"/>
            <w:vAlign w:val="center"/>
            <w:textDirection w:val="lrTb"/>
            <w:noWrap w:val="false"/>
          </w:tcPr>
          <w:p>
            <w:pPr>
              <w:pStyle w:val="724"/>
              <w:ind w:firstLine="0"/>
              <w:jc w:val="center"/>
              <w:spacing w:line="360" w:lineRule="auto"/>
              <w:rPr>
                <w:rFonts w:ascii="宋体" w:hAnsi="宋体"/>
                <w:color w:val="auto"/>
                <w:szCs w:val="21"/>
                <w:highlight w:val="none"/>
              </w:rPr>
            </w:pPr>
            <w:r>
              <w:rPr>
                <w:rFonts w:ascii="宋体" w:hAnsi="宋体"/>
                <w:color w:val="auto"/>
                <w:szCs w:val="21"/>
                <w:highlight w:val="none"/>
              </w:rPr>
            </w:r>
            <w:r/>
          </w:p>
        </w:tc>
      </w:tr>
    </w:tbl>
    <w:p>
      <w:pPr>
        <w:pStyle w:val="724"/>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注：（1）本项目</w:t>
      </w:r>
      <w:r>
        <w:rPr>
          <w:rFonts w:ascii="宋体" w:hAnsi="宋体" w:cs="宋体"/>
          <w:color w:val="auto"/>
          <w:szCs w:val="21"/>
          <w:highlight w:val="none"/>
        </w:rPr>
        <w:t xml:space="preserve">按实结算</w:t>
      </w:r>
      <w:r>
        <w:rPr>
          <w:rFonts w:hint="eastAsia" w:ascii="宋体" w:hAnsi="宋体" w:cs="宋体"/>
          <w:color w:val="auto"/>
          <w:szCs w:val="21"/>
          <w:highlight w:val="none"/>
        </w:rPr>
        <w:t xml:space="preserve">（基本折率*（1-优惠率））</w:t>
      </w:r>
      <w:r/>
    </w:p>
    <w:p>
      <w:pPr>
        <w:pStyle w:val="724"/>
        <w:ind w:firstLine="420"/>
        <w:spacing w:line="360" w:lineRule="auto"/>
        <w:rPr>
          <w:color w:val="auto"/>
          <w:highlight w:val="none"/>
        </w:rPr>
      </w:pPr>
      <w:r>
        <w:rPr>
          <w:rFonts w:hint="eastAsia" w:ascii="宋体" w:hAnsi="宋体" w:cs="宋体"/>
          <w:color w:val="auto"/>
          <w:szCs w:val="21"/>
          <w:highlight w:val="none"/>
        </w:rPr>
        <w:t xml:space="preserve">（2）本项目划分为3个标段。投标单位可选择其中一个或多个标段投标，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开标顺序按标段顺序：标段一、标段二、标段三。在合同签订之前，若某标段因质疑、投诉等事项导致中标结果改变的，不影响其它任何标段的中标结果。</w:t>
      </w:r>
      <w:r/>
    </w:p>
    <w:p>
      <w:pPr>
        <w:ind w:firstLine="420"/>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四、合同履行期限：</w:t>
      </w:r>
      <w:r>
        <w:rPr>
          <w:rFonts w:hint="eastAsia" w:ascii="宋体" w:hAnsi="宋体" w:cs="宋体"/>
          <w:color w:val="auto"/>
          <w:szCs w:val="21"/>
          <w:highlight w:val="none"/>
        </w:rPr>
        <w:t xml:space="preserve">各标段服务结算金额达到各标段采购预算金额或服务期满合同签订之日起两年先到为止。</w:t>
      </w:r>
      <w:bookmarkEnd w:id="2"/>
      <w:r/>
    </w:p>
    <w:p>
      <w:pPr>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五、采购需求：</w:t>
      </w:r>
      <w:r/>
    </w:p>
    <w:p>
      <w:pPr>
        <w:ind w:firstLine="42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1、项目名称：土地一级市场评估服务供应商</w:t>
      </w:r>
      <w:r/>
    </w:p>
    <w:p>
      <w:pPr>
        <w:ind w:firstLine="42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2、服务范围：苏州市吴中区、相城区、姑苏区、苏州工业园区（80平方公里以外区域）、苏州高新区土地一级市场评估</w:t>
      </w:r>
      <w:r/>
    </w:p>
    <w:tbl>
      <w:tblPr>
        <w:tblStyle w:val="74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5383"/>
        <w:gridCol w:w="3902"/>
      </w:tblGrid>
      <w:tr>
        <w:trPr/>
        <w:tc>
          <w:tcPr>
            <w:tcW w:w="334" w:type="pct"/>
            <w:textDirection w:val="lrTb"/>
            <w:noWrap w:val="false"/>
          </w:tcPr>
          <w:p>
            <w:pPr>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标段</w:t>
            </w:r>
            <w:r/>
          </w:p>
        </w:tc>
        <w:tc>
          <w:tcPr>
            <w:tcW w:w="2704" w:type="pct"/>
            <w:textDirection w:val="lrTb"/>
            <w:noWrap w:val="false"/>
          </w:tcPr>
          <w:p>
            <w:pPr>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地区</w:t>
            </w:r>
            <w:r/>
          </w:p>
        </w:tc>
        <w:tc>
          <w:tcPr>
            <w:tcW w:w="1960" w:type="pct"/>
            <w:textDirection w:val="lrTb"/>
            <w:noWrap w:val="false"/>
          </w:tcPr>
          <w:p>
            <w:pPr>
              <w:jc w:val="cente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内容</w:t>
            </w:r>
            <w:r/>
          </w:p>
        </w:tc>
      </w:tr>
      <w:tr>
        <w:trPr/>
        <w:tc>
          <w:tcPr>
            <w:tcW w:w="334" w:type="pct"/>
            <w:textDirection w:val="lrTb"/>
            <w:noWrap w:val="false"/>
          </w:tcPr>
          <w:p>
            <w:pPr>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W w:w="2704" w:type="pct"/>
            <w:textDirection w:val="lrTb"/>
            <w:noWrap w:val="false"/>
          </w:tcPr>
          <w:p>
            <w:pPr>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苏州市吴中区、苏州高新区</w:t>
            </w:r>
            <w:r/>
          </w:p>
        </w:tc>
        <w:tc>
          <w:tcPr>
            <w:tcW w:w="1960" w:type="pct"/>
            <w:vMerge w:val="restart"/>
            <w:textDirection w:val="lrTb"/>
            <w:noWrap w:val="false"/>
          </w:tcPr>
          <w:p>
            <w:pPr>
              <w:jc w:val="left"/>
              <w:widowControl/>
              <w:rPr>
                <w:rFonts w:asciiTheme="minorEastAsia" w:hAnsiTheme="minorEastAsia" w:eastAsiaTheme="minorEastAsia"/>
                <w:color w:val="auto"/>
                <w:szCs w:val="21"/>
                <w:highlight w:val="none"/>
              </w:rPr>
            </w:pPr>
            <w:r>
              <w:rPr>
                <w:rFonts w:hint="eastAsia" w:ascii="宋体" w:hAnsi="宋体" w:cs="宋体"/>
                <w:color w:val="auto"/>
                <w:szCs w:val="21"/>
                <w:highlight w:val="none"/>
              </w:rPr>
              <w:t xml:space="preserve">以招拍挂方式出让地块标底或底价评估；调整土地使用条件涉及地价差评估；协议出让地价评估；补办出让地价评估；政府委托的收回土地使用权补偿价格评估；土地一级市场其他需要进行地价评估的。</w:t>
            </w:r>
            <w:r/>
          </w:p>
        </w:tc>
      </w:tr>
      <w:tr>
        <w:trPr/>
        <w:tc>
          <w:tcPr>
            <w:tcW w:w="334" w:type="pct"/>
            <w:textDirection w:val="lrTb"/>
            <w:noWrap w:val="false"/>
          </w:tcPr>
          <w:p>
            <w:pPr>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W w:w="2704" w:type="pct"/>
            <w:textDirection w:val="lrTb"/>
            <w:noWrap w:val="false"/>
          </w:tcPr>
          <w:p>
            <w:pPr>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苏州市相城区、苏州工业园区（80平方公里以外区域）</w:t>
            </w:r>
            <w:r/>
          </w:p>
        </w:tc>
        <w:tc>
          <w:tcPr>
            <w:tcW w:w="1960" w:type="pct"/>
            <w:vMerge w:val="continue"/>
            <w:textDirection w:val="lrTb"/>
            <w:noWrap w:val="false"/>
          </w:tcPr>
          <w:p>
            <w:pPr>
              <w:jc w:val="left"/>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c>
          <w:tcPr>
            <w:tcW w:w="334" w:type="pct"/>
            <w:textDirection w:val="lrTb"/>
            <w:noWrap w:val="false"/>
          </w:tcPr>
          <w:p>
            <w:pPr>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W w:w="2704" w:type="pct"/>
            <w:textDirection w:val="lrTb"/>
            <w:noWrap w:val="false"/>
          </w:tcPr>
          <w:p>
            <w:pPr>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苏州市姑苏区</w:t>
            </w:r>
            <w:r/>
          </w:p>
        </w:tc>
        <w:tc>
          <w:tcPr>
            <w:tcW w:w="1960" w:type="pct"/>
            <w:vMerge w:val="continue"/>
            <w:textDirection w:val="lrTb"/>
            <w:noWrap w:val="false"/>
          </w:tcPr>
          <w:p>
            <w:pPr>
              <w:jc w:val="left"/>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ind w:firstLine="420"/>
        <w:spacing w:line="360" w:lineRule="auto"/>
        <w:rPr>
          <w:rFonts w:ascii="宋体" w:hAnsi="宋体" w:cs="Arial Unicode MS"/>
          <w:bCs/>
          <w:color w:val="auto"/>
          <w:szCs w:val="21"/>
          <w:highlight w:val="none"/>
        </w:rPr>
        <w:outlineLvl w:val="0"/>
      </w:pPr>
      <w:r>
        <w:rPr>
          <w:rFonts w:hint="eastAsia" w:ascii="宋体" w:hAnsi="宋体" w:cs="Arial Unicode MS"/>
          <w:bCs/>
          <w:color w:val="auto"/>
          <w:szCs w:val="21"/>
          <w:highlight w:val="none"/>
        </w:rPr>
        <w:t xml:space="preserve">3、特殊业务的委托</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对突发紧急、技术要求高、情形复杂、跨区以及与历史工作有衔接要求的项目，苏州市自然资源和规划局可在中标的三家单位内，指定服务单位进行委托评估。</w:t>
      </w:r>
      <w:r/>
    </w:p>
    <w:p>
      <w:pPr>
        <w:ind w:firstLine="420"/>
        <w:spacing w:line="360" w:lineRule="auto"/>
        <w:rPr>
          <w:rFonts w:ascii="宋体" w:hAnsi="宋体" w:cs="Arial Unicode MS"/>
          <w:b/>
          <w:color w:val="auto"/>
          <w:szCs w:val="21"/>
          <w:highlight w:val="none"/>
        </w:rPr>
        <w:outlineLvl w:val="0"/>
      </w:pPr>
      <w:r>
        <w:rPr>
          <w:rFonts w:hint="eastAsia" w:ascii="宋体" w:hAnsi="宋体" w:cs="Arial Unicode MS"/>
          <w:bCs/>
          <w:color w:val="auto"/>
          <w:szCs w:val="21"/>
          <w:highlight w:val="none"/>
        </w:rPr>
        <w:t xml:space="preserve">4、确定土地评估机构后的其他要求：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（1）接受委托，按时开始评估工作。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（2）开展评估：</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土地评估机构确定后，每家评估机构须保证至少有2名从事评估行业不少于3年的土地估价师负责相应区域土地一级市场评估服务，且其中至少有2名以上同时为注册房地产估价师,估价师要求参加现场地价会办会议。评估</w:t>
      </w:r>
      <w:r>
        <w:rPr>
          <w:rFonts w:ascii="宋体" w:hAnsi="宋体"/>
          <w:color w:val="auto"/>
          <w:szCs w:val="21"/>
          <w:highlight w:val="none"/>
        </w:rPr>
        <w:t xml:space="preserve">机构根据苏州市自然资源和规划局的具体要求开展</w:t>
      </w:r>
      <w:r>
        <w:rPr>
          <w:rFonts w:hint="eastAsia" w:ascii="宋体" w:hAnsi="宋体"/>
          <w:color w:val="auto"/>
          <w:szCs w:val="21"/>
          <w:highlight w:val="none"/>
        </w:rPr>
        <w:t xml:space="preserve">评估</w:t>
      </w:r>
      <w:r>
        <w:rPr>
          <w:rFonts w:ascii="宋体" w:hAnsi="宋体"/>
          <w:color w:val="auto"/>
          <w:szCs w:val="21"/>
          <w:highlight w:val="none"/>
        </w:rPr>
        <w:t xml:space="preserve">工作，接受苏州市自然资源和规划局指导并对苏州市自然资源和规划局负责</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评估</w:t>
      </w:r>
      <w:r>
        <w:rPr>
          <w:rFonts w:ascii="宋体" w:hAnsi="宋体"/>
          <w:color w:val="auto"/>
          <w:szCs w:val="21"/>
          <w:highlight w:val="none"/>
        </w:rPr>
        <w:t xml:space="preserve">机构完成评估项目，应按</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要求出具</w:t>
      </w:r>
      <w:r>
        <w:rPr>
          <w:rFonts w:hint="eastAsia" w:ascii="宋体" w:hAnsi="宋体"/>
          <w:color w:val="auto"/>
          <w:szCs w:val="21"/>
          <w:highlight w:val="none"/>
        </w:rPr>
        <w:t xml:space="preserve">评估</w:t>
      </w:r>
      <w:r>
        <w:rPr>
          <w:rFonts w:ascii="宋体" w:hAnsi="宋体"/>
          <w:color w:val="auto"/>
          <w:szCs w:val="21"/>
          <w:highlight w:val="none"/>
        </w:rPr>
        <w:t xml:space="preserve">报告，移交评估资料</w:t>
      </w:r>
      <w:r>
        <w:rPr>
          <w:rFonts w:hint="eastAsia" w:ascii="宋体" w:hAnsi="宋体"/>
          <w:color w:val="auto"/>
          <w:szCs w:val="21"/>
          <w:highlight w:val="none"/>
        </w:rPr>
        <w:t xml:space="preserve">，</w:t>
      </w:r>
      <w:r>
        <w:rPr>
          <w:rFonts w:ascii="宋体" w:hAnsi="宋体"/>
          <w:color w:val="auto"/>
          <w:szCs w:val="21"/>
          <w:highlight w:val="none"/>
        </w:rPr>
        <w:t xml:space="preserve">并拟定评估费通知单</w:t>
      </w:r>
      <w:r>
        <w:rPr>
          <w:rFonts w:hint="eastAsia" w:ascii="宋体" w:hAnsi="宋体"/>
          <w:color w:val="auto"/>
          <w:szCs w:val="21"/>
          <w:highlight w:val="none"/>
        </w:rPr>
        <w:t xml:space="preserve">，</w:t>
      </w:r>
      <w:r>
        <w:rPr>
          <w:rFonts w:ascii="宋体" w:hAnsi="宋体"/>
          <w:color w:val="auto"/>
          <w:szCs w:val="21"/>
          <w:highlight w:val="none"/>
        </w:rPr>
        <w:t xml:space="preserve">经</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审核后作为结算凭据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业务费支付：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a</w:t>
      </w:r>
      <w:r>
        <w:rPr>
          <w:rFonts w:ascii="宋体" w:hAnsi="宋体"/>
          <w:color w:val="auto"/>
          <w:szCs w:val="21"/>
          <w:highlight w:val="none"/>
        </w:rPr>
        <w:t xml:space="preserve">.</w:t>
      </w:r>
      <w:r>
        <w:rPr>
          <w:rFonts w:hint="eastAsia" w:ascii="宋体" w:hAnsi="宋体"/>
          <w:color w:val="auto"/>
          <w:szCs w:val="21"/>
          <w:highlight w:val="none"/>
        </w:rPr>
        <w:t xml:space="preserve">宗地地价评估收费标准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关于</w:t>
      </w:r>
      <w:r>
        <w:rPr>
          <w:color w:val="auto"/>
          <w:highlight w:val="none"/>
        </w:rPr>
        <w:fldChar w:fldCharType="begin"/>
      </w:r>
      <w:r>
        <w:rPr>
          <w:color w:val="auto"/>
          <w:highlight w:val="none"/>
        </w:rPr>
        <w:instrText xml:space="preserve"> HYPERLINK "http://zhidao.baidu.com/search?word=%E5%9C%9F%E5%9C%B0%E4%BB%B7%E6%A0%BC&amp;fr=qb_search_exp&amp;ie=utf8" \t "_blank" </w:instrText>
      </w:r>
      <w:r>
        <w:rPr>
          <w:color w:val="auto"/>
          <w:highlight w:val="none"/>
        </w:rPr>
        <w:fldChar w:fldCharType="separate"/>
      </w:r>
      <w:r>
        <w:rPr>
          <w:rFonts w:ascii="宋体" w:hAnsi="宋体"/>
          <w:color w:val="auto"/>
          <w:szCs w:val="21"/>
          <w:highlight w:val="none"/>
        </w:rPr>
        <w:t xml:space="preserve">土地价格</w:t>
      </w:r>
      <w:r>
        <w:rPr>
          <w:rFonts w:ascii="宋体" w:hAnsi="宋体"/>
          <w:color w:val="auto"/>
          <w:szCs w:val="21"/>
          <w:highlight w:val="none"/>
        </w:rPr>
        <w:fldChar w:fldCharType="end"/>
      </w:r>
      <w:r>
        <w:rPr>
          <w:rFonts w:ascii="宋体" w:hAnsi="宋体"/>
          <w:color w:val="auto"/>
          <w:szCs w:val="21"/>
          <w:highlight w:val="none"/>
        </w:rPr>
        <w:t xml:space="preserve">评估收费的通知</w:t>
      </w:r>
      <w:r>
        <w:rPr>
          <w:rFonts w:hint="eastAsia" w:ascii="宋体" w:hAnsi="宋体"/>
          <w:color w:val="auto"/>
          <w:szCs w:val="21"/>
          <w:highlight w:val="none"/>
        </w:rPr>
        <w:t xml:space="preserve">》[</w:t>
      </w:r>
      <w:r>
        <w:rPr>
          <w:rFonts w:ascii="宋体" w:hAnsi="宋体"/>
          <w:color w:val="auto"/>
          <w:szCs w:val="21"/>
          <w:highlight w:val="none"/>
        </w:rPr>
        <w:t xml:space="preserve">计价格[1994]2017号</w:t>
      </w:r>
      <w:r>
        <w:rPr>
          <w:rFonts w:hint="eastAsia" w:ascii="宋体" w:hAnsi="宋体"/>
          <w:color w:val="auto"/>
          <w:szCs w:val="21"/>
          <w:highlight w:val="none"/>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6107"/>
        <w:gridCol w:w="2788"/>
      </w:tblGrid>
      <w:tr>
        <w:trPr>
          <w:trHeight w:val="405"/>
        </w:trPr>
        <w:tc>
          <w:tcPr>
            <w:tcW w:w="53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档次</w:t>
            </w:r>
            <w:r/>
          </w:p>
        </w:tc>
        <w:tc>
          <w:tcPr>
            <w:tcW w:w="3067" w:type="pct"/>
            <w:vAlign w:val="center"/>
            <w:textDirection w:val="lrTb"/>
            <w:noWrap w:val="false"/>
          </w:tcPr>
          <w:p>
            <w:pPr>
              <w:ind w:firstLine="420"/>
              <w:jc w:val="center"/>
              <w:rPr>
                <w:rFonts w:ascii="宋体" w:hAnsi="宋体"/>
                <w:color w:val="auto"/>
                <w:szCs w:val="21"/>
                <w:highlight w:val="none"/>
              </w:rPr>
            </w:pPr>
            <w:r>
              <w:rPr>
                <w:rFonts w:hint="eastAsia" w:ascii="宋体" w:hAnsi="宋体"/>
                <w:color w:val="auto"/>
                <w:szCs w:val="21"/>
                <w:highlight w:val="none"/>
              </w:rPr>
              <w:t xml:space="preserve">土地评估价格总额</w:t>
            </w:r>
            <w:r/>
          </w:p>
        </w:tc>
        <w:tc>
          <w:tcPr>
            <w:tcW w:w="14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收费标准</w:t>
            </w:r>
            <w:r/>
          </w:p>
        </w:tc>
      </w:tr>
      <w:tr>
        <w:trPr>
          <w:trHeight w:val="405"/>
        </w:trPr>
        <w:tc>
          <w:tcPr>
            <w:tcW w:w="53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3067" w:type="pct"/>
            <w:vAlign w:val="center"/>
            <w:textDirection w:val="lrTb"/>
            <w:noWrap w:val="false"/>
          </w:tcPr>
          <w:p>
            <w:pPr>
              <w:ind w:firstLine="420"/>
              <w:jc w:val="center"/>
              <w:rPr>
                <w:rFonts w:ascii="宋体" w:hAnsi="宋体"/>
                <w:color w:val="auto"/>
                <w:szCs w:val="21"/>
                <w:highlight w:val="none"/>
              </w:rPr>
            </w:pPr>
            <w:r>
              <w:rPr>
                <w:rFonts w:hint="eastAsia" w:ascii="宋体" w:hAnsi="宋体"/>
                <w:color w:val="auto"/>
                <w:szCs w:val="21"/>
                <w:highlight w:val="none"/>
              </w:rPr>
              <w:t xml:space="preserve">100万元以下（含100万元）</w:t>
            </w:r>
            <w:r/>
          </w:p>
        </w:tc>
        <w:tc>
          <w:tcPr>
            <w:tcW w:w="14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trHeight w:val="405"/>
        </w:trPr>
        <w:tc>
          <w:tcPr>
            <w:tcW w:w="53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3067" w:type="pct"/>
            <w:vAlign w:val="center"/>
            <w:textDirection w:val="lrTb"/>
            <w:noWrap w:val="false"/>
          </w:tcPr>
          <w:p>
            <w:pPr>
              <w:ind w:firstLine="420"/>
              <w:jc w:val="center"/>
              <w:rPr>
                <w:rFonts w:ascii="宋体" w:hAnsi="宋体"/>
                <w:color w:val="auto"/>
                <w:szCs w:val="21"/>
                <w:highlight w:val="none"/>
              </w:rPr>
            </w:pPr>
            <w:r>
              <w:rPr>
                <w:rFonts w:hint="eastAsia" w:ascii="宋体" w:hAnsi="宋体"/>
                <w:color w:val="auto"/>
                <w:szCs w:val="21"/>
                <w:highlight w:val="none"/>
              </w:rPr>
              <w:t xml:space="preserve">100万以上至200万元部分</w:t>
            </w:r>
            <w:r/>
          </w:p>
        </w:tc>
        <w:tc>
          <w:tcPr>
            <w:tcW w:w="14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r>
      <w:tr>
        <w:trPr>
          <w:trHeight w:val="405"/>
        </w:trPr>
        <w:tc>
          <w:tcPr>
            <w:tcW w:w="53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3067" w:type="pct"/>
            <w:vAlign w:val="center"/>
            <w:textDirection w:val="lrTb"/>
            <w:noWrap w:val="false"/>
          </w:tcPr>
          <w:p>
            <w:pPr>
              <w:ind w:firstLine="420"/>
              <w:jc w:val="center"/>
              <w:rPr>
                <w:rFonts w:ascii="宋体" w:hAnsi="宋体"/>
                <w:color w:val="auto"/>
                <w:szCs w:val="21"/>
                <w:highlight w:val="none"/>
              </w:rPr>
            </w:pPr>
            <w:r>
              <w:rPr>
                <w:rFonts w:hint="eastAsia" w:ascii="宋体" w:hAnsi="宋体"/>
                <w:color w:val="auto"/>
                <w:szCs w:val="21"/>
                <w:highlight w:val="none"/>
              </w:rPr>
              <w:t xml:space="preserve">200万以上至1000万元部分</w:t>
            </w:r>
            <w:r/>
          </w:p>
        </w:tc>
        <w:tc>
          <w:tcPr>
            <w:tcW w:w="14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r>
      <w:tr>
        <w:trPr>
          <w:trHeight w:val="405"/>
        </w:trPr>
        <w:tc>
          <w:tcPr>
            <w:tcW w:w="53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3067" w:type="pct"/>
            <w:vAlign w:val="center"/>
            <w:textDirection w:val="lrTb"/>
            <w:noWrap w:val="false"/>
          </w:tcPr>
          <w:p>
            <w:pPr>
              <w:ind w:firstLine="420"/>
              <w:jc w:val="center"/>
              <w:rPr>
                <w:rFonts w:ascii="宋体" w:hAnsi="宋体"/>
                <w:color w:val="auto"/>
                <w:szCs w:val="21"/>
                <w:highlight w:val="none"/>
              </w:rPr>
            </w:pPr>
            <w:r>
              <w:rPr>
                <w:rFonts w:hint="eastAsia" w:ascii="宋体" w:hAnsi="宋体"/>
                <w:color w:val="auto"/>
                <w:szCs w:val="21"/>
                <w:highlight w:val="none"/>
              </w:rPr>
              <w:t xml:space="preserve">1000万以上至2000万元部分</w:t>
            </w:r>
            <w:r/>
          </w:p>
        </w:tc>
        <w:tc>
          <w:tcPr>
            <w:tcW w:w="14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p>
        </w:tc>
      </w:tr>
      <w:tr>
        <w:trPr>
          <w:trHeight w:val="405"/>
        </w:trPr>
        <w:tc>
          <w:tcPr>
            <w:tcW w:w="53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3067" w:type="pct"/>
            <w:vAlign w:val="center"/>
            <w:textDirection w:val="lrTb"/>
            <w:noWrap w:val="false"/>
          </w:tcPr>
          <w:p>
            <w:pPr>
              <w:ind w:firstLine="420"/>
              <w:jc w:val="center"/>
              <w:rPr>
                <w:rFonts w:ascii="宋体" w:hAnsi="宋体"/>
                <w:color w:val="auto"/>
                <w:szCs w:val="21"/>
                <w:highlight w:val="none"/>
              </w:rPr>
            </w:pPr>
            <w:r>
              <w:rPr>
                <w:rFonts w:hint="eastAsia" w:ascii="宋体" w:hAnsi="宋体"/>
                <w:color w:val="auto"/>
                <w:szCs w:val="21"/>
                <w:highlight w:val="none"/>
              </w:rPr>
              <w:t xml:space="preserve">2000万以上至5000万元部分</w:t>
            </w:r>
            <w:r/>
          </w:p>
        </w:tc>
        <w:tc>
          <w:tcPr>
            <w:tcW w:w="14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0.8‰</w:t>
            </w:r>
            <w:r/>
          </w:p>
        </w:tc>
      </w:tr>
      <w:tr>
        <w:trPr>
          <w:trHeight w:val="405"/>
        </w:trPr>
        <w:tc>
          <w:tcPr>
            <w:tcW w:w="53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3067" w:type="pct"/>
            <w:vAlign w:val="center"/>
            <w:textDirection w:val="lrTb"/>
            <w:noWrap w:val="false"/>
          </w:tcPr>
          <w:p>
            <w:pPr>
              <w:ind w:firstLine="420"/>
              <w:jc w:val="center"/>
              <w:rPr>
                <w:rFonts w:ascii="宋体" w:hAnsi="宋体"/>
                <w:color w:val="auto"/>
                <w:szCs w:val="21"/>
                <w:highlight w:val="none"/>
              </w:rPr>
            </w:pPr>
            <w:r>
              <w:rPr>
                <w:rFonts w:hint="eastAsia" w:ascii="宋体" w:hAnsi="宋体"/>
                <w:color w:val="auto"/>
                <w:szCs w:val="21"/>
                <w:highlight w:val="none"/>
              </w:rPr>
              <w:t xml:space="preserve">5000万以上至10000万元部分</w:t>
            </w:r>
            <w:r/>
          </w:p>
        </w:tc>
        <w:tc>
          <w:tcPr>
            <w:tcW w:w="14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0.4‰</w:t>
            </w:r>
            <w:r/>
          </w:p>
        </w:tc>
      </w:tr>
      <w:tr>
        <w:trPr>
          <w:trHeight w:val="405"/>
        </w:trPr>
        <w:tc>
          <w:tcPr>
            <w:tcW w:w="53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3067" w:type="pct"/>
            <w:vAlign w:val="center"/>
            <w:textDirection w:val="lrTb"/>
            <w:noWrap w:val="false"/>
          </w:tcPr>
          <w:p>
            <w:pPr>
              <w:ind w:firstLine="420"/>
              <w:jc w:val="center"/>
              <w:rPr>
                <w:rFonts w:ascii="宋体" w:hAnsi="宋体"/>
                <w:color w:val="auto"/>
                <w:szCs w:val="21"/>
                <w:highlight w:val="none"/>
              </w:rPr>
            </w:pPr>
            <w:r>
              <w:rPr>
                <w:rFonts w:hint="eastAsia" w:ascii="宋体" w:hAnsi="宋体"/>
                <w:color w:val="auto"/>
                <w:szCs w:val="21"/>
                <w:highlight w:val="none"/>
              </w:rPr>
              <w:t xml:space="preserve">10000万元以上部分</w:t>
            </w:r>
            <w:r/>
          </w:p>
        </w:tc>
        <w:tc>
          <w:tcPr>
            <w:tcW w:w="14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0.1‰</w:t>
            </w:r>
            <w:r/>
          </w:p>
        </w:tc>
      </w:tr>
    </w:tbl>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注：按报告总金额收费,</w:t>
      </w:r>
      <w:r>
        <w:rPr>
          <w:rFonts w:ascii="宋体" w:hAnsi="宋体"/>
          <w:color w:val="auto"/>
          <w:szCs w:val="21"/>
          <w:highlight w:val="none"/>
        </w:rPr>
        <w:t xml:space="preserve">采取差额定率累进计费，即按土地价格总额大小划分</w:t>
      </w:r>
      <w:r>
        <w:rPr>
          <w:color w:val="auto"/>
          <w:highlight w:val="none"/>
        </w:rPr>
        <w:fldChar w:fldCharType="begin"/>
      </w:r>
      <w:r>
        <w:rPr>
          <w:color w:val="auto"/>
          <w:highlight w:val="none"/>
        </w:rPr>
        <w:instrText xml:space="preserve"> HYPERLINK "http://zhidao.baidu.com/search?word=%E8%B4%B9%E7%8E%87&amp;fr=qb_search_exp&amp;ie=utf8" \t "_blank" </w:instrText>
      </w:r>
      <w:r>
        <w:rPr>
          <w:color w:val="auto"/>
          <w:highlight w:val="none"/>
        </w:rPr>
        <w:fldChar w:fldCharType="separate"/>
      </w:r>
      <w:r>
        <w:rPr>
          <w:rFonts w:ascii="宋体" w:hAnsi="宋体"/>
          <w:color w:val="auto"/>
          <w:szCs w:val="21"/>
          <w:highlight w:val="none"/>
        </w:rPr>
        <w:t xml:space="preserve">费率</w:t>
      </w:r>
      <w:r>
        <w:rPr>
          <w:rFonts w:ascii="宋体" w:hAnsi="宋体"/>
          <w:color w:val="auto"/>
          <w:szCs w:val="21"/>
          <w:highlight w:val="none"/>
        </w:rPr>
        <w:fldChar w:fldCharType="end"/>
      </w:r>
      <w:r>
        <w:rPr>
          <w:rFonts w:ascii="宋体" w:hAnsi="宋体"/>
          <w:color w:val="auto"/>
          <w:szCs w:val="21"/>
          <w:highlight w:val="none"/>
        </w:rPr>
        <w:t xml:space="preserve">档次，分档计算各档的收费额，各档收费额累计之和为收费总额</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b</w:t>
      </w:r>
      <w:r>
        <w:rPr>
          <w:rFonts w:ascii="宋体" w:hAnsi="宋体"/>
          <w:color w:val="auto"/>
          <w:szCs w:val="21"/>
          <w:highlight w:val="none"/>
        </w:rPr>
        <w:t xml:space="preserve">.</w:t>
      </w:r>
      <w:r>
        <w:rPr>
          <w:rFonts w:hint="eastAsia" w:ascii="宋体" w:hAnsi="宋体"/>
          <w:color w:val="auto"/>
          <w:szCs w:val="21"/>
          <w:highlight w:val="none"/>
        </w:rPr>
        <w:t xml:space="preserve">基本折率情况（协议出让）</w:t>
      </w:r>
      <w:r/>
    </w:p>
    <w:tbl>
      <w:tblPr>
        <w:tblStyle w:val="719"/>
        <w:tblW w:w="5000"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3"/>
        <w:gridCol w:w="3254"/>
        <w:gridCol w:w="1969"/>
        <w:gridCol w:w="3190"/>
      </w:tblGrid>
      <w:tr>
        <w:trPr>
          <w:trHeight w:val="405"/>
        </w:trPr>
        <w:tc>
          <w:tcPr>
            <w:tcW w:w="775"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档次</w:t>
            </w:r>
            <w:r/>
          </w:p>
        </w:tc>
        <w:tc>
          <w:tcPr>
            <w:tcW w:w="163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土地评估分类</w:t>
            </w:r>
            <w:r/>
          </w:p>
        </w:tc>
        <w:tc>
          <w:tcPr>
            <w:tcW w:w="989"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收费折率</w:t>
            </w:r>
            <w:r/>
          </w:p>
        </w:tc>
        <w:tc>
          <w:tcPr>
            <w:tcW w:w="1602"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备注</w:t>
            </w:r>
            <w:r/>
          </w:p>
        </w:tc>
      </w:tr>
      <w:tr>
        <w:trPr>
          <w:trHeight w:val="405"/>
        </w:trPr>
        <w:tc>
          <w:tcPr>
            <w:tcW w:w="77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3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协议出让评估</w:t>
            </w:r>
            <w:r/>
          </w:p>
        </w:tc>
        <w:tc>
          <w:tcPr>
            <w:tcW w:w="98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40%</w:t>
            </w:r>
            <w:r/>
          </w:p>
        </w:tc>
        <w:tc>
          <w:tcPr>
            <w:tcW w:w="1602" w:type="pct"/>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最低收费500元/单</w:t>
            </w:r>
            <w:r/>
          </w:p>
        </w:tc>
      </w:tr>
      <w:tr>
        <w:trPr>
          <w:trHeight w:val="405"/>
        </w:trPr>
        <w:tc>
          <w:tcPr>
            <w:tcW w:w="77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63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补办出让评估</w:t>
            </w:r>
            <w:r/>
          </w:p>
        </w:tc>
        <w:tc>
          <w:tcPr>
            <w:tcW w:w="989"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40%</w:t>
            </w:r>
            <w:r/>
          </w:p>
        </w:tc>
        <w:tc>
          <w:tcPr>
            <w:tcW w:w="1602"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05"/>
        </w:trPr>
        <w:tc>
          <w:tcPr>
            <w:tcW w:w="77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63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工业挂牌底价评估</w:t>
            </w:r>
            <w:r/>
          </w:p>
        </w:tc>
        <w:tc>
          <w:tcPr>
            <w:tcW w:w="989"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20%</w:t>
            </w:r>
            <w:r/>
          </w:p>
        </w:tc>
        <w:tc>
          <w:tcPr>
            <w:tcW w:w="1602"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05"/>
        </w:trPr>
        <w:tc>
          <w:tcPr>
            <w:tcW w:w="77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63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经营性挂牌底价评估</w:t>
            </w:r>
            <w:r/>
          </w:p>
        </w:tc>
        <w:tc>
          <w:tcPr>
            <w:tcW w:w="989"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20%</w:t>
            </w:r>
            <w:r/>
          </w:p>
        </w:tc>
        <w:tc>
          <w:tcPr>
            <w:tcW w:w="1602" w:type="pct"/>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05"/>
        </w:trPr>
        <w:tc>
          <w:tcPr>
            <w:tcW w:w="77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63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补地价评估</w:t>
            </w:r>
            <w:r/>
          </w:p>
        </w:tc>
        <w:tc>
          <w:tcPr>
            <w:tcW w:w="989"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见</w:t>
            </w:r>
            <w:r>
              <w:rPr>
                <w:rFonts w:hint="eastAsia" w:ascii="宋体" w:hAnsi="宋体"/>
                <w:color w:val="auto"/>
                <w:szCs w:val="21"/>
                <w:highlight w:val="none"/>
              </w:rPr>
              <w:t xml:space="preserve">下</w:t>
            </w:r>
            <w:r>
              <w:rPr>
                <w:rFonts w:ascii="宋体" w:hAnsi="宋体"/>
                <w:color w:val="auto"/>
                <w:szCs w:val="21"/>
                <w:highlight w:val="none"/>
              </w:rPr>
              <w:t xml:space="preserve">注</w:t>
            </w:r>
            <w:r/>
          </w:p>
        </w:tc>
        <w:tc>
          <w:tcPr>
            <w:tcW w:w="1602"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最低收费2000元/单</w:t>
            </w:r>
            <w:r/>
          </w:p>
        </w:tc>
      </w:tr>
    </w:tbl>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0"/>
        <w:spacing w:line="360" w:lineRule="auto"/>
        <w:rPr>
          <w:rFonts w:ascii="宋体" w:hAnsi="宋体"/>
          <w:color w:val="auto"/>
          <w:szCs w:val="21"/>
          <w:highlight w:val="none"/>
        </w:rPr>
      </w:pPr>
      <w:r>
        <w:rPr>
          <w:rFonts w:ascii="宋体" w:hAnsi="宋体"/>
          <w:color w:val="auto"/>
          <w:szCs w:val="21"/>
          <w:highlight w:val="none"/>
        </w:rPr>
        <w:fldChar w:fldCharType="begin"/>
      </w:r>
      <w:r>
        <w:rPr>
          <w:rFonts w:hint="eastAsia" w:ascii="宋体" w:hAnsi="宋体"/>
          <w:color w:val="auto"/>
          <w:szCs w:val="21"/>
          <w:highlight w:val="none"/>
        </w:rPr>
        <w:instrText xml:space="preserve">= 1 \* GB3</w:instrText>
      </w:r>
      <w:r>
        <w:rPr>
          <w:rFonts w:ascii="宋体" w:hAnsi="宋体"/>
          <w:color w:val="auto"/>
          <w:szCs w:val="21"/>
          <w:highlight w:val="none"/>
        </w:rPr>
        <w:fldChar w:fldCharType="separate"/>
      </w:r>
      <w:r>
        <w:rPr>
          <w:rFonts w:hint="eastAsia" w:ascii="宋体" w:hAnsi="宋体"/>
          <w:color w:val="auto"/>
          <w:szCs w:val="21"/>
          <w:highlight w:val="none"/>
        </w:rPr>
        <w:t xml:space="preserve">①</w:t>
      </w:r>
      <w:r>
        <w:rPr>
          <w:rFonts w:ascii="宋体" w:hAnsi="宋体"/>
          <w:color w:val="auto"/>
          <w:szCs w:val="21"/>
          <w:highlight w:val="none"/>
        </w:rPr>
        <w:fldChar w:fldCharType="end"/>
      </w:r>
      <w:r>
        <w:rPr>
          <w:rFonts w:hint="eastAsia" w:ascii="宋体" w:hAnsi="宋体"/>
          <w:color w:val="auto"/>
          <w:szCs w:val="21"/>
          <w:highlight w:val="none"/>
        </w:rPr>
        <w:t xml:space="preserve">对新地价大于老地价的项目，按地价差额部分计算评估费，收费折率为100%；</w:t>
      </w:r>
      <w:r/>
    </w:p>
    <w:p>
      <w:pPr>
        <w:ind w:firstLine="420"/>
        <w:spacing w:line="360" w:lineRule="auto"/>
        <w:rPr>
          <w:rFonts w:ascii="宋体" w:hAnsi="宋体"/>
          <w:color w:val="auto"/>
          <w:szCs w:val="21"/>
          <w:highlight w:val="none"/>
        </w:rPr>
      </w:pPr>
      <w:r>
        <w:rPr>
          <w:rFonts w:ascii="宋体" w:hAnsi="宋体"/>
          <w:color w:val="auto"/>
          <w:szCs w:val="21"/>
          <w:highlight w:val="none"/>
        </w:rPr>
        <w:fldChar w:fldCharType="begin"/>
      </w:r>
      <w:r>
        <w:rPr>
          <w:rFonts w:hint="eastAsia" w:ascii="宋体" w:hAnsi="宋体"/>
          <w:color w:val="auto"/>
          <w:szCs w:val="21"/>
          <w:highlight w:val="none"/>
        </w:rPr>
        <w:instrText xml:space="preserve">= 2 \* GB3</w:instrText>
      </w:r>
      <w:r>
        <w:rPr>
          <w:rFonts w:ascii="宋体" w:hAnsi="宋体"/>
          <w:color w:val="auto"/>
          <w:szCs w:val="21"/>
          <w:highlight w:val="none"/>
        </w:rPr>
        <w:fldChar w:fldCharType="separate"/>
      </w:r>
      <w:r>
        <w:rPr>
          <w:rFonts w:hint="eastAsia" w:ascii="宋体" w:hAnsi="宋体"/>
          <w:color w:val="auto"/>
          <w:szCs w:val="21"/>
          <w:highlight w:val="none"/>
        </w:rPr>
        <w:t xml:space="preserve">②</w:t>
      </w:r>
      <w:r>
        <w:rPr>
          <w:rFonts w:ascii="宋体" w:hAnsi="宋体"/>
          <w:color w:val="auto"/>
          <w:szCs w:val="21"/>
          <w:highlight w:val="none"/>
        </w:rPr>
        <w:fldChar w:fldCharType="end"/>
      </w:r>
      <w:r>
        <w:rPr>
          <w:rFonts w:hint="eastAsia" w:ascii="宋体" w:hAnsi="宋体"/>
          <w:color w:val="auto"/>
          <w:szCs w:val="21"/>
          <w:highlight w:val="none"/>
        </w:rPr>
        <w:t xml:space="preserve">对新地价小于等于老地价的项目，取以下二者中的较低者作为最终收费：①新旧地价评估收费标准的20%之和。②新旧地价差值绝对值评估收费标准的100%。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）中标单位保证按国家及行业标准提供服务，中标单位对评估结果的合法合规性、合理性等负责。</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委托评估的责任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接受委托的评估机构应确保项目评估质量，按时完成评估工作。项目评估应当严格遵守国家的有关法律、法规、制度规定、有关执业规范及</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的要求。评估机构对评估意见的真实性、完整性、可靠性负责。评估机构的</w:t>
      </w:r>
      <w:r>
        <w:rPr>
          <w:rFonts w:hint="eastAsia" w:ascii="宋体" w:hAnsi="宋体"/>
          <w:color w:val="auto"/>
          <w:szCs w:val="21"/>
          <w:highlight w:val="none"/>
        </w:rPr>
        <w:t xml:space="preserve">评估</w:t>
      </w:r>
      <w:r>
        <w:rPr>
          <w:rFonts w:ascii="宋体" w:hAnsi="宋体"/>
          <w:color w:val="auto"/>
          <w:szCs w:val="21"/>
          <w:highlight w:val="none"/>
        </w:rPr>
        <w:t xml:space="preserve">报告只向</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提供，不得自行提供给其他单位。对提供不实或内容虚假的评估结果以及自行对外提供</w:t>
      </w:r>
      <w:r>
        <w:rPr>
          <w:rFonts w:hint="eastAsia" w:ascii="宋体" w:hAnsi="宋体"/>
          <w:color w:val="auto"/>
          <w:szCs w:val="21"/>
          <w:highlight w:val="none"/>
        </w:rPr>
        <w:t xml:space="preserve">评估</w:t>
      </w:r>
      <w:r>
        <w:rPr>
          <w:rFonts w:ascii="宋体" w:hAnsi="宋体"/>
          <w:color w:val="auto"/>
          <w:szCs w:val="21"/>
          <w:highlight w:val="none"/>
        </w:rPr>
        <w:t xml:space="preserve">报告的，除由评估机构自行承担责任外，</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可采取必要措施终止委托评估，情节严重的，依法提请有关部门追究评估单位和相关责任人的行政及法律责任。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、违约责任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然资源部门下达评估任务后，在具备条件的前提下，评估机构需在5个工作日内提交估价报告。对违法上述规定的评估机构，出现1次的，督促整改；出现3次的，评估机构须提交书面整改材料；出现5次及以上的，自然资源部门有权解除采购合同并保留要求其赔偿相关损失的权利。</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为了确保项目评</w:t>
      </w:r>
      <w:r>
        <w:rPr>
          <w:rFonts w:hint="eastAsia" w:ascii="宋体" w:hAnsi="宋体"/>
          <w:color w:val="auto"/>
          <w:szCs w:val="21"/>
          <w:highlight w:val="none"/>
        </w:rPr>
        <w:t xml:space="preserve">估</w:t>
      </w:r>
      <w:r>
        <w:rPr>
          <w:rFonts w:ascii="宋体" w:hAnsi="宋体"/>
          <w:color w:val="auto"/>
          <w:szCs w:val="21"/>
          <w:highlight w:val="none"/>
        </w:rPr>
        <w:t xml:space="preserve">质量，</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将每年对评估机构的</w:t>
      </w:r>
      <w:r>
        <w:rPr>
          <w:rFonts w:hint="eastAsia" w:ascii="宋体" w:hAnsi="宋体"/>
          <w:color w:val="auto"/>
          <w:szCs w:val="21"/>
          <w:highlight w:val="none"/>
        </w:rPr>
        <w:t xml:space="preserve">评估</w:t>
      </w:r>
      <w:r>
        <w:rPr>
          <w:rFonts w:ascii="宋体" w:hAnsi="宋体"/>
          <w:color w:val="auto"/>
          <w:szCs w:val="21"/>
          <w:highlight w:val="none"/>
        </w:rPr>
        <w:t xml:space="preserve">质量等进行综合考核，考核结果将作为下一年选择评估机构的重要依据。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、评估工作的开展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评估机构根据委托评估协议书的要求开展评估工作。对在评估过程中发现由于</w:t>
      </w:r>
      <w:r>
        <w:rPr>
          <w:rFonts w:hint="eastAsia" w:ascii="宋体" w:hAnsi="宋体"/>
          <w:color w:val="auto"/>
          <w:szCs w:val="21"/>
          <w:highlight w:val="none"/>
        </w:rPr>
        <w:t xml:space="preserve">委托方</w:t>
      </w:r>
      <w:r>
        <w:rPr>
          <w:rFonts w:ascii="宋体" w:hAnsi="宋体"/>
          <w:color w:val="auto"/>
          <w:szCs w:val="21"/>
          <w:highlight w:val="none"/>
        </w:rPr>
        <w:t xml:space="preserve">提供的资料不全，且由于补送资料不及时而严重影响评估进度的，由评估机构提出要求延长评估时间的书面申请，经</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核准后给予调整评估时间。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评估机构应接受</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的业务指导，按照</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的要求开展评估工作。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评估机构向</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出具</w:t>
      </w:r>
      <w:r>
        <w:rPr>
          <w:rFonts w:hint="eastAsia" w:ascii="宋体" w:hAnsi="宋体"/>
          <w:color w:val="auto"/>
          <w:szCs w:val="21"/>
          <w:highlight w:val="none"/>
        </w:rPr>
        <w:t xml:space="preserve">评估</w:t>
      </w:r>
      <w:r>
        <w:rPr>
          <w:rFonts w:ascii="宋体" w:hAnsi="宋体"/>
          <w:color w:val="auto"/>
          <w:szCs w:val="21"/>
          <w:highlight w:val="none"/>
        </w:rPr>
        <w:t xml:space="preserve">报告，应有具体评估人员、评估机构负责人签字盖章确认的书面意见。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评估机构应加强对</w:t>
      </w:r>
      <w:r>
        <w:rPr>
          <w:rFonts w:hint="eastAsia" w:ascii="宋体" w:hAnsi="宋体"/>
          <w:color w:val="auto"/>
          <w:szCs w:val="21"/>
          <w:highlight w:val="none"/>
        </w:rPr>
        <w:t xml:space="preserve">评估</w:t>
      </w:r>
      <w:r>
        <w:rPr>
          <w:rFonts w:ascii="宋体" w:hAnsi="宋体"/>
          <w:color w:val="auto"/>
          <w:szCs w:val="21"/>
          <w:highlight w:val="none"/>
        </w:rPr>
        <w:t xml:space="preserve">资料的保管，评估工作全面完成后，评估机构应</w:t>
      </w:r>
      <w:r>
        <w:rPr>
          <w:rFonts w:hint="eastAsia" w:ascii="宋体" w:hAnsi="宋体"/>
          <w:color w:val="auto"/>
          <w:szCs w:val="21"/>
          <w:highlight w:val="none"/>
        </w:rPr>
        <w:t xml:space="preserve">将苏州市自然资源和规划局认为必要的有关资料返还给苏州市自然资源和规划局；其余资料，评估单位应按苏州市自然资源和规划局要求存档保管，并应及时满足苏州市自然资源和规划局对评估资料有关调用、审核等要求。</w:t>
      </w:r>
      <w:r>
        <w:rPr>
          <w:rFonts w:ascii="宋体" w:hAnsi="宋体"/>
          <w:color w:val="auto"/>
          <w:szCs w:val="21"/>
          <w:highlight w:val="none"/>
        </w:rPr>
        <w:t xml:space="preserve">对档案管理不完善造成资料遗失的评估机构，</w:t>
      </w:r>
      <w:r>
        <w:rPr>
          <w:rFonts w:hint="eastAsia" w:ascii="宋体" w:hAnsi="宋体"/>
          <w:color w:val="auto"/>
          <w:szCs w:val="21"/>
          <w:highlight w:val="none"/>
        </w:rPr>
        <w:t xml:space="preserve">苏州市自然资源和规划局</w:t>
      </w:r>
      <w:r>
        <w:rPr>
          <w:rFonts w:ascii="宋体" w:hAnsi="宋体"/>
          <w:color w:val="auto"/>
          <w:szCs w:val="21"/>
          <w:highlight w:val="none"/>
        </w:rPr>
        <w:t xml:space="preserve">将予以警告直至不再对其进行委托。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8、质量与验收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评估机构应当遵守国家相关法律、法规和政策，自觉维护土地评估市场秩序。评估过程中，评估机构应根据估价规程和规范的要求进行评估，独立、客观、公正地出具估价报告，并按自然（国土）资源部要求完成电子备案程序取得电子备案号。</w:t>
      </w:r>
      <w:r/>
    </w:p>
    <w:p>
      <w:pPr>
        <w:ind w:firstLine="420"/>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六、保密要求：</w:t>
      </w:r>
      <w:r/>
    </w:p>
    <w:p>
      <w:pPr>
        <w:pStyle w:val="759"/>
        <w:ind w:left="0" w:firstLine="420"/>
        <w:spacing w:line="360" w:lineRule="auto"/>
        <w:rPr>
          <w:rFonts w:ascii="宋体" w:hAnsi="宋体"/>
          <w:color w:val="auto"/>
          <w:szCs w:val="21"/>
          <w:highlight w:val="none"/>
        </w:rPr>
      </w:pPr>
      <w:r>
        <w:rPr>
          <w:rFonts w:hint="eastAsia" w:ascii="宋体" w:hAnsi="宋体"/>
          <w:color w:val="auto"/>
          <w:szCs w:val="21"/>
          <w:highlight w:val="none"/>
        </w:rPr>
        <w:t xml:space="preserve">1、所有投标单位负责对采购单位所提供资料及最终成果的保密，所有投标单位（包含工作人员）需遵守采购单位的保密规定，不</w:t>
      </w:r>
      <w:r>
        <w:rPr>
          <w:rFonts w:ascii="宋体" w:hAnsi="宋体"/>
          <w:color w:val="auto"/>
          <w:szCs w:val="21"/>
          <w:highlight w:val="none"/>
        </w:rPr>
        <w:t xml:space="preserve">以任何形式</w:t>
      </w:r>
      <w:r>
        <w:rPr>
          <w:rFonts w:hint="eastAsia" w:ascii="宋体" w:hAnsi="宋体"/>
          <w:color w:val="auto"/>
          <w:szCs w:val="21"/>
          <w:highlight w:val="none"/>
        </w:rPr>
        <w:t xml:space="preserve">将收集的所有资料、数据等进行泄漏、传播；</w:t>
      </w:r>
      <w:r/>
    </w:p>
    <w:p>
      <w:pPr>
        <w:pStyle w:val="759"/>
        <w:ind w:left="0"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项目服务人员</w:t>
      </w:r>
      <w:r>
        <w:rPr>
          <w:rFonts w:hint="eastAsia" w:ascii="宋体" w:hAnsi="宋体"/>
          <w:color w:val="auto"/>
          <w:szCs w:val="21"/>
          <w:highlight w:val="none"/>
        </w:rPr>
        <w:t xml:space="preserve">需</w:t>
      </w:r>
      <w:r>
        <w:rPr>
          <w:rFonts w:ascii="宋体" w:hAnsi="宋体"/>
          <w:color w:val="auto"/>
          <w:szCs w:val="21"/>
          <w:highlight w:val="none"/>
        </w:rPr>
        <w:t xml:space="preserve">签署相关保密协议，承担工作中接触相关内容的保密义务</w:t>
      </w:r>
      <w:r>
        <w:rPr>
          <w:rFonts w:hint="eastAsia" w:ascii="宋体" w:hAnsi="宋体"/>
          <w:color w:val="auto"/>
          <w:szCs w:val="21"/>
          <w:highlight w:val="none"/>
        </w:rPr>
        <w:t xml:space="preserve">；</w:t>
      </w:r>
      <w:r/>
    </w:p>
    <w:p>
      <w:pPr>
        <w:pStyle w:val="759"/>
        <w:ind w:left="0" w:firstLine="420"/>
        <w:spacing w:line="360" w:lineRule="auto"/>
        <w:rPr>
          <w:rFonts w:ascii="宋体" w:hAnsi="宋体"/>
          <w:color w:val="auto"/>
          <w:szCs w:val="21"/>
          <w:highlight w:val="none"/>
        </w:rPr>
      </w:pPr>
      <w:r>
        <w:rPr>
          <w:rFonts w:hint="eastAsia" w:ascii="宋体" w:hAnsi="宋体"/>
          <w:color w:val="auto"/>
          <w:szCs w:val="21"/>
          <w:highlight w:val="none"/>
        </w:rPr>
        <w:t xml:space="preserve">3、项目成果最终</w:t>
      </w:r>
      <w:r>
        <w:rPr>
          <w:rFonts w:ascii="宋体" w:hAnsi="宋体"/>
          <w:color w:val="auto"/>
          <w:szCs w:val="21"/>
          <w:highlight w:val="none"/>
        </w:rPr>
        <w:t xml:space="preserve">所有权属</w:t>
      </w:r>
      <w:r>
        <w:rPr>
          <w:rFonts w:hint="eastAsia" w:ascii="宋体" w:hAnsi="宋体"/>
          <w:color w:val="auto"/>
          <w:szCs w:val="21"/>
          <w:highlight w:val="none"/>
        </w:rPr>
        <w:t xml:space="preserve">采购单位</w:t>
      </w:r>
      <w:r>
        <w:rPr>
          <w:rFonts w:ascii="宋体" w:hAnsi="宋体"/>
          <w:color w:val="auto"/>
          <w:szCs w:val="21"/>
          <w:highlight w:val="none"/>
        </w:rPr>
        <w:t xml:space="preserve">，</w:t>
      </w:r>
      <w:r>
        <w:rPr>
          <w:rFonts w:hint="eastAsia" w:ascii="宋体" w:hAnsi="宋体"/>
          <w:color w:val="auto"/>
          <w:szCs w:val="21"/>
          <w:highlight w:val="none"/>
        </w:rPr>
        <w:t xml:space="preserve">在项目完成时中标单位必须全部移交</w:t>
      </w:r>
      <w:r>
        <w:rPr>
          <w:rFonts w:ascii="宋体" w:hAnsi="宋体"/>
          <w:color w:val="auto"/>
          <w:szCs w:val="21"/>
          <w:highlight w:val="none"/>
        </w:rPr>
        <w:t xml:space="preserve">；</w:t>
      </w:r>
      <w:r/>
    </w:p>
    <w:p>
      <w:pPr>
        <w:pStyle w:val="759"/>
        <w:ind w:left="0" w:firstLine="420"/>
        <w:spacing w:line="360" w:lineRule="auto"/>
        <w:rPr>
          <w:rFonts w:ascii="宋体" w:hAnsi="宋体"/>
          <w:color w:val="auto"/>
          <w:szCs w:val="21"/>
          <w:highlight w:val="none"/>
        </w:rPr>
      </w:pPr>
      <w:r>
        <w:rPr>
          <w:rFonts w:hint="eastAsia" w:ascii="宋体" w:hAnsi="宋体"/>
          <w:color w:val="auto"/>
          <w:szCs w:val="21"/>
          <w:highlight w:val="none"/>
        </w:rPr>
        <w:t xml:space="preserve">4、中标单位须维护项目服务成果，不得转让给第三方重复使用。</w:t>
      </w:r>
      <w:r/>
    </w:p>
    <w:p>
      <w:pPr>
        <w:pStyle w:val="759"/>
        <w:ind w:left="0" w:firstLine="420"/>
        <w:spacing w:line="360" w:lineRule="auto"/>
        <w:rPr>
          <w:rFonts w:ascii="宋体" w:hAnsi="宋体"/>
          <w:color w:val="auto"/>
          <w:szCs w:val="21"/>
          <w:highlight w:val="none"/>
        </w:rPr>
      </w:pPr>
      <w:r>
        <w:rPr>
          <w:rFonts w:hint="eastAsia" w:ascii="宋体" w:hAnsi="宋体"/>
          <w:color w:val="auto"/>
          <w:szCs w:val="21"/>
          <w:highlight w:val="none"/>
        </w:rPr>
        <w:t xml:space="preserve">5、以上保密规定如有违反，采购单位有权追究中标单位相关法律责任。</w:t>
      </w:r>
      <w:r/>
    </w:p>
    <w:p>
      <w:pPr>
        <w:pStyle w:val="759"/>
        <w:ind w:left="0" w:firstLine="420"/>
        <w:spacing w:line="360" w:lineRule="auto"/>
        <w:rPr>
          <w:rFonts w:ascii="宋体" w:hAnsi="宋体"/>
          <w:color w:val="auto"/>
          <w:szCs w:val="21"/>
          <w:highlight w:val="none"/>
        </w:rPr>
      </w:pPr>
      <w:r>
        <w:rPr>
          <w:rFonts w:hint="eastAsia" w:ascii="宋体" w:hAnsi="宋体"/>
          <w:b/>
          <w:color w:val="auto"/>
          <w:szCs w:val="21"/>
          <w:highlight w:val="none"/>
        </w:rPr>
        <w:t xml:space="preserve">七、项目安全：</w:t>
      </w:r>
      <w:r>
        <w:rPr>
          <w:rFonts w:hint="eastAsia" w:ascii="宋体" w:hAnsi="宋体"/>
          <w:color w:val="auto"/>
          <w:szCs w:val="21"/>
          <w:highlight w:val="none"/>
        </w:rPr>
        <w:t xml:space="preserve">中标单位在项目服务期间应制定项目安全实施管理措施，并严格遵守安全管理要求，中标单位在项目服务过程中因管理不当、维护措施不当等因素或不按安全管理要求，造成人员安全或财产损失事故的，其责任均由中标单位自行承担，采购单位不承担责任。</w:t>
      </w:r>
      <w:r/>
    </w:p>
    <w:p>
      <w:pPr>
        <w:pStyle w:val="759"/>
        <w:ind w:left="0" w:firstLine="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八、后期服务及其他要求:</w:t>
      </w:r>
      <w:r/>
    </w:p>
    <w:p>
      <w:pPr>
        <w:pStyle w:val="759"/>
        <w:ind w:lef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中标单</w:t>
      </w:r>
      <w:r>
        <w:rPr>
          <w:rFonts w:hint="eastAsia" w:ascii="宋体" w:hAnsi="宋体" w:eastAsia="宋体" w:cs="宋体"/>
          <w:color w:val="auto"/>
          <w:szCs w:val="21"/>
          <w:highlight w:val="none"/>
        </w:rPr>
        <w:t xml:space="preserve">位需严格按采购文件规定的时间完成项目的全部工作内容，如在实施的过程中出现错误，误差，需负责及时更正直至采购单位确认，并经主管部门验收合格，中标单位在项目进行过程中产生的任何安全、损坏等责任事故一律由中标单位自行承担。投标单位需提供必要的技术培训，协助采购单位完成其他需要中标单位配合的服务。投标单位应严格遵守服务合约，项目完成以后，如采购单位有需要中标单位配合的服务，中标单位必须予以配合，协助采购单位完善项目内容。</w:t>
      </w:r>
      <w:r/>
    </w:p>
    <w:p>
      <w:pPr>
        <w:pStyle w:val="742"/>
        <w:contextualSpacing/>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2、若遇到重大项目评估需求或突发紧急情况，中标单位须在接到甲方通知后立刻响应，并于一小时内到达现场进行处理。</w:t>
      </w:r>
      <w:r/>
    </w:p>
    <w:p>
      <w:pPr>
        <w:ind w:firstLine="420"/>
        <w:keepLines w:val="0"/>
        <w:keepNext w:val="0"/>
        <w:pageBreakBefore w:val="0"/>
        <w:spacing w:beforeAutospacing="0" w:afterAutospacing="0"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九、中标单位提交的研究成果有下列情形之一的，采购单位有权终止合同：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1、提交的成果不符合招标文件规定的。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2、提交的成果图纸和文字辨认不清、内容不全或粗制滥造的。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3、未经采购单位同意，逾期上报研究成果的。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4、未经采购单位同意，将项目转包给任何单位和个人。</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十、项目其他说明：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1、投标单位应提供能够证明自己履约能力相关资料，包括资质和资信、所获行业荣誉状况、实际工作业绩等。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2、投标单位应提供项目实施的组织机构、项目负责人和项目实施队伍的人员组成。为完成该项目，投标单位应组建工作小组，明确成员分工。</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3、投标单位需根据本项目工作内容，针对招标文件的要求提出自己的具体的工作方案等。</w:t>
      </w:r>
      <w:r/>
    </w:p>
    <w:p>
      <w:pPr>
        <w:ind w:firstLine="48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十一、综合说明</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1、投标单位提供的服务能够至少达到招标文件及合同等的要求，同时明确详细的服务方案。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单位必须承诺响应招标文件中提出的全部技术标准和服务要求，如果其中某些条款不响应时，应在文件中逐条列出，未列出的视同响应。如果不能响应全部的技术标准和服务要求，视为不实质性响应招标文件，为无效投标。</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3、投标单位应对所投项目的全部内容进行报价，只投其中部分内容者，其标书将被拒绝。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5、投标总报价一次报定，</w:t>
      </w:r>
      <w:r>
        <w:rPr>
          <w:rFonts w:hint="eastAsia" w:ascii="宋体" w:hAnsi="宋体" w:cs="宋体"/>
          <w:bCs/>
          <w:color w:val="auto"/>
          <w:szCs w:val="21"/>
          <w:highlight w:val="none"/>
          <w:lang w:val="zh-TW"/>
        </w:rPr>
        <w:t xml:space="preserve">报价</w:t>
      </w:r>
      <w:r>
        <w:rPr>
          <w:rFonts w:hint="eastAsia" w:ascii="宋体" w:hAnsi="宋体" w:cs="宋体"/>
          <w:color w:val="auto"/>
          <w:szCs w:val="21"/>
          <w:highlight w:val="none"/>
        </w:rPr>
        <w:t xml:space="preserve">包括全部履约期间的人工、材料、各种税费、利润、税金、政策性文件规定及合同包含的所有风险、责任等各项应有费用。同时，除非合同条款中另有规定，否则，投标人所报价格在合同实施期间不因市场变化因素而变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6、中标单位对服务缺陷不予更正，采购单位有权另请其他单位更正，所发生的费用由投标单位承担。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7、本采购文件适用苏财规【2024】7号文件关于印发《江苏省政府采购履约验收管理办法》的通知。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8、凡涉及招标文件的补充说明和修改，均以苏州市政府采购网上的信息为准。</w:t>
      </w:r>
      <w:r/>
    </w:p>
    <w:p>
      <w:pPr>
        <w:ind w:firstLine="480"/>
        <w:spacing w:line="360" w:lineRule="auto"/>
        <w:rPr>
          <w:rFonts w:ascii="宋体" w:hAnsi="宋体" w:cs="宋体"/>
          <w:color w:val="auto"/>
          <w:szCs w:val="21"/>
          <w:highlight w:val="none"/>
        </w:rPr>
        <w:sectPr>
          <w:footnotePr/>
          <w:endnotePr/>
          <w:type w:val="nextPage"/>
          <w:pgSz w:w="11906" w:h="16838" w:orient="portrait"/>
          <w:pgMar w:top="1440" w:right="1083" w:bottom="1440" w:left="1083" w:header="850" w:footer="992" w:gutter="0"/>
          <w:cols w:num="1" w:sep="0" w:space="0" w:equalWidth="1"/>
          <w:docGrid w:linePitch="360"/>
        </w:sectPr>
      </w:pPr>
      <w:r>
        <w:rPr>
          <w:rFonts w:ascii="宋体" w:hAnsi="宋体" w:cs="宋体"/>
          <w:color w:val="auto"/>
          <w:szCs w:val="21"/>
          <w:highlight w:val="none"/>
        </w:rPr>
      </w:r>
      <w:r/>
    </w:p>
    <w:p>
      <w:pPr>
        <w:contextualSpacing/>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合同主要条款</w:t>
      </w:r>
      <w:r/>
    </w:p>
    <w:tbl>
      <w:tblPr>
        <w:tblStyle w:val="71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47"/>
        <w:gridCol w:w="4409"/>
      </w:tblGrid>
      <w:tr>
        <w:trPr>
          <w:jc w:val="center"/>
        </w:trPr>
        <w:tc>
          <w:tcPr>
            <w:tcBorders>
              <w:top w:val="none" w:color="000000" w:sz="4" w:space="0"/>
              <w:left w:val="none" w:color="000000" w:sz="4" w:space="0"/>
              <w:bottom w:val="none" w:color="000000" w:sz="4" w:space="0"/>
              <w:right w:val="none" w:color="000000" w:sz="4" w:space="0"/>
            </w:tcBorders>
            <w:tcW w:w="2786" w:type="pct"/>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甲方（采购人）：</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2214" w:type="pct"/>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单位地址：</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电话：</w:t>
            </w:r>
            <w:r/>
          </w:p>
        </w:tc>
      </w:tr>
      <w:tr>
        <w:trPr>
          <w:jc w:val="center"/>
          <w:trHeight w:val="90"/>
        </w:trPr>
        <w:tc>
          <w:tcPr>
            <w:tcBorders>
              <w:top w:val="none" w:color="000000" w:sz="4" w:space="0"/>
              <w:left w:val="none" w:color="000000" w:sz="4" w:space="0"/>
              <w:bottom w:val="none" w:color="000000" w:sz="4" w:space="0"/>
              <w:right w:val="none" w:color="000000" w:sz="4" w:space="0"/>
            </w:tcBorders>
            <w:tcW w:w="2786" w:type="pct"/>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乙方（投标人）：</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2214" w:type="pct"/>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单位地址：</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电话：</w:t>
            </w:r>
            <w:r/>
          </w:p>
        </w:tc>
      </w:tr>
    </w:tbl>
    <w:p>
      <w:pPr>
        <w:pStyle w:val="937"/>
        <w:ind w:firstLine="420"/>
        <w:jc w:val="left"/>
        <w:spacing w:line="360" w:lineRule="auto"/>
        <w:widowControl/>
        <w:rPr>
          <w:rFonts w:ascii="宋体"/>
          <w:color w:val="auto"/>
          <w:sz w:val="21"/>
          <w:szCs w:val="21"/>
          <w:highlight w:val="none"/>
        </w:rPr>
      </w:pPr>
      <w:r>
        <w:rPr>
          <w:rFonts w:hint="eastAsia" w:ascii="宋体" w:hAnsi="宋体" w:cs="宋体"/>
          <w:color w:val="auto"/>
          <w:sz w:val="21"/>
          <w:szCs w:val="21"/>
          <w:highlight w:val="none"/>
        </w:rPr>
        <w:t xml:space="preserve">依据甲方委托苏州捷信招投标咨询有限公司进行本项目政府采购号的采购结果，确定乙方为本次中标供应商，现依照招标文件、乙方的投标文件及相关文件的内容，签订本合同书。</w:t>
      </w:r>
      <w:r/>
    </w:p>
    <w:p>
      <w:pPr>
        <w:pStyle w:val="728"/>
        <w:ind w:firstLine="420"/>
        <w:spacing w:line="360" w:lineRule="auto"/>
        <w:widowControl/>
        <w:rPr>
          <w:rFonts w:hint="default" w:hAnsi="宋体" w:eastAsia="宋体" w:cs="宋体"/>
          <w:color w:val="auto"/>
          <w:sz w:val="21"/>
          <w:szCs w:val="21"/>
          <w:highlight w:val="none"/>
        </w:rPr>
      </w:pPr>
      <w:r>
        <w:rPr>
          <w:rFonts w:hAnsi="宋体" w:eastAsia="宋体" w:cs="宋体"/>
          <w:color w:val="auto"/>
          <w:sz w:val="21"/>
          <w:szCs w:val="21"/>
          <w:highlight w:val="none"/>
        </w:rPr>
        <w:t xml:space="preserve">一、乙方通过公开招标获得</w:t>
      </w:r>
      <w:r>
        <w:rPr>
          <w:rFonts w:hAnsi="宋体" w:eastAsia="宋体" w:cs="宋体"/>
          <w:bCs/>
          <w:color w:val="auto"/>
          <w:sz w:val="21"/>
          <w:szCs w:val="21"/>
          <w:highlight w:val="none"/>
        </w:rPr>
        <w:t xml:space="preserve">中标资格</w:t>
      </w:r>
      <w:r>
        <w:rPr>
          <w:rFonts w:hAnsi="宋体" w:eastAsia="宋体" w:cs="宋体"/>
          <w:color w:val="auto"/>
          <w:sz w:val="21"/>
          <w:szCs w:val="21"/>
          <w:highlight w:val="none"/>
        </w:rPr>
        <w:t xml:space="preserve">：</w:t>
      </w:r>
      <w:r/>
    </w:p>
    <w:p>
      <w:pPr>
        <w:ind w:firstLine="420"/>
        <w:jc w:val="left"/>
        <w:spacing w:line="360" w:lineRule="auto"/>
        <w:rPr>
          <w:rFonts w:ascii="宋体" w:hAnsi="宋体" w:cs="Calibri"/>
          <w:color w:val="auto"/>
          <w:szCs w:val="21"/>
          <w:highlight w:val="none"/>
        </w:rPr>
      </w:pPr>
      <w:r>
        <w:rPr>
          <w:rFonts w:hint="eastAsia" w:ascii="宋体" w:hAnsi="宋体" w:cs="Calibri"/>
          <w:color w:val="auto"/>
          <w:szCs w:val="21"/>
          <w:highlight w:val="none"/>
        </w:rPr>
        <w:t xml:space="preserve">1</w:t>
      </w:r>
      <w:r>
        <w:rPr>
          <w:rFonts w:hint="eastAsia" w:ascii="宋体" w:hAnsi="宋体" w:cs="宋体"/>
          <w:color w:val="auto"/>
          <w:szCs w:val="21"/>
          <w:highlight w:val="none"/>
        </w:rPr>
        <w:t xml:space="preserve">、服务范围：苏州市吴中区、相城区、姑苏区、苏州工业园区（80平方公里以外区域）、苏州高新区土地一级市场评估</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Calibri"/>
          <w:color w:val="auto"/>
          <w:szCs w:val="21"/>
          <w:highlight w:val="none"/>
        </w:rPr>
        <w:t xml:space="preserve">2</w:t>
      </w:r>
      <w:r>
        <w:rPr>
          <w:rFonts w:hint="eastAsia" w:ascii="宋体" w:hAnsi="宋体" w:cs="宋体"/>
          <w:color w:val="auto"/>
          <w:szCs w:val="21"/>
          <w:highlight w:val="none"/>
        </w:rPr>
        <w:t xml:space="preserve">、服务期限：</w:t>
      </w:r>
      <w:r>
        <w:rPr>
          <w:rFonts w:hint="eastAsia" w:ascii="宋体" w:hAnsi="宋体" w:cs="宋体"/>
          <w:color w:val="auto"/>
          <w:szCs w:val="21"/>
          <w:highlight w:val="none"/>
          <w:shd w:val="clear" w:color="auto" w:fill="ffffff"/>
        </w:rPr>
        <w:t xml:space="preserve">各标段服务结算金额达到各标段采购预算金额或服务期满合同签订之日起两年先到为止。</w:t>
      </w:r>
      <w:r/>
    </w:p>
    <w:tbl>
      <w:tblPr>
        <w:tblStyle w:val="71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87"/>
        <w:gridCol w:w="5608"/>
        <w:gridCol w:w="3661"/>
      </w:tblGrid>
      <w:tr>
        <w:trPr>
          <w:jc w:val="center"/>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标段</w:t>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地区</w:t>
            </w:r>
            <w:r/>
          </w:p>
        </w:tc>
        <w:tc>
          <w:tcPr>
            <w:tcBorders>
              <w:top w:val="single" w:color="000000" w:sz="4" w:space="0"/>
              <w:left w:val="single" w:color="000000" w:sz="4" w:space="0"/>
              <w:bottom w:val="single" w:color="000000" w:sz="4" w:space="0"/>
              <w:right w:val="single" w:color="000000" w:sz="4" w:space="0"/>
            </w:tcBorders>
            <w:tcW w:w="1838"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内容</w:t>
            </w:r>
            <w:r/>
          </w:p>
        </w:tc>
      </w:tr>
      <w:tr>
        <w:trPr>
          <w:jc w:val="center"/>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苏州市吴中区、苏州高新区</w:t>
            </w:r>
            <w:r/>
          </w:p>
        </w:tc>
        <w:tc>
          <w:tcPr>
            <w:tcBorders>
              <w:top w:val="single" w:color="000000" w:sz="4" w:space="0"/>
              <w:left w:val="single" w:color="000000" w:sz="4" w:space="0"/>
              <w:right w:val="single" w:color="000000" w:sz="4" w:space="0"/>
            </w:tcBorders>
            <w:tcW w:w="1838" w:type="pct"/>
            <w:vAlign w:val="center"/>
            <w:vMerge w:val="restart"/>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以招拍挂方式出让地块标底或底价评估；调整土地使用条件涉及地价差评估；协议出让地价评估；补办出让地价评估；政府委托的收回土地使用权补偿价格评估；土地一级市场其他需要进行地价评估的。</w:t>
            </w:r>
            <w:r/>
          </w:p>
        </w:tc>
      </w:tr>
      <w:tr>
        <w:trPr>
          <w:jc w:val="center"/>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苏州市相城区、苏州工业园区（80平方公里以外区域）</w:t>
            </w:r>
            <w:r/>
          </w:p>
        </w:tc>
        <w:tc>
          <w:tcPr>
            <w:tcBorders>
              <w:left w:val="single" w:color="000000" w:sz="4" w:space="0"/>
              <w:right w:val="single" w:color="000000" w:sz="4" w:space="0"/>
            </w:tcBorders>
            <w:tcW w:w="1838" w:type="pct"/>
            <w:vAlign w:val="center"/>
            <w:vMerge w:val="continue"/>
            <w:textDirection w:val="lrTb"/>
            <w:noWrap w:val="false"/>
          </w:tcPr>
          <w:p>
            <w:pPr>
              <w:jc w:val="center"/>
              <w:spacing w:line="360" w:lineRule="auto"/>
              <w:rPr>
                <w:rFonts w:ascii="宋体" w:hAnsi="宋体" w:cs="宋体"/>
                <w:color w:val="auto"/>
                <w:szCs w:val="21"/>
                <w:highlight w:val="none"/>
              </w:rPr>
              <w:outlineLvl w:val="0"/>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val="false"/>
          </w:tcPr>
          <w:p>
            <w:pPr>
              <w:jc w:val="center"/>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苏州市姑苏区</w:t>
            </w:r>
            <w:r/>
          </w:p>
        </w:tc>
        <w:tc>
          <w:tcPr>
            <w:tcBorders>
              <w:left w:val="single" w:color="000000" w:sz="4" w:space="0"/>
              <w:bottom w:val="single" w:color="000000" w:sz="4" w:space="0"/>
              <w:right w:val="single" w:color="000000" w:sz="4" w:space="0"/>
            </w:tcBorders>
            <w:tcW w:w="1838" w:type="pct"/>
            <w:vAlign w:val="center"/>
            <w:vMerge w:val="continue"/>
            <w:textDirection w:val="lrTb"/>
            <w:noWrap w:val="false"/>
          </w:tcPr>
          <w:p>
            <w:pPr>
              <w:jc w:val="center"/>
              <w:spacing w:line="360" w:lineRule="auto"/>
              <w:rPr>
                <w:rFonts w:ascii="宋体" w:hAnsi="宋体" w:cs="宋体"/>
                <w:color w:val="auto"/>
                <w:szCs w:val="21"/>
                <w:highlight w:val="none"/>
              </w:rPr>
              <w:outlineLvl w:val="0"/>
            </w:pPr>
            <w:r>
              <w:rPr>
                <w:rFonts w:ascii="宋体" w:hAnsi="宋体" w:cs="宋体"/>
                <w:color w:val="auto"/>
                <w:szCs w:val="21"/>
                <w:highlight w:val="none"/>
              </w:rPr>
            </w:r>
            <w:r/>
          </w:p>
        </w:tc>
      </w:tr>
    </w:tbl>
    <w:p>
      <w:pPr>
        <w:ind w:firstLine="420"/>
        <w:spacing w:line="360" w:lineRule="auto"/>
        <w:rPr>
          <w:rFonts w:ascii="宋体" w:hAnsi="宋体" w:cs="Arial Unicode MS"/>
          <w:bCs/>
          <w:color w:val="auto"/>
          <w:szCs w:val="21"/>
          <w:highlight w:val="none"/>
        </w:rPr>
        <w:outlineLvl w:val="0"/>
      </w:pPr>
      <w:r>
        <w:rPr>
          <w:rFonts w:hint="eastAsia" w:ascii="宋体" w:hAnsi="宋体" w:cs="宋体"/>
          <w:bCs/>
          <w:color w:val="auto"/>
          <w:szCs w:val="21"/>
          <w:highlight w:val="none"/>
        </w:rPr>
        <w:t xml:space="preserve">3、特殊业务的委托</w:t>
      </w:r>
      <w:r/>
    </w:p>
    <w:p>
      <w:pPr>
        <w:ind w:firstLine="420"/>
        <w:spacing w:line="360" w:lineRule="auto"/>
        <w:rPr>
          <w:rFonts w:ascii="宋体" w:hAnsi="宋体" w:cs="Calibri"/>
          <w:bCs/>
          <w:color w:val="auto"/>
          <w:szCs w:val="21"/>
          <w:highlight w:val="none"/>
        </w:rPr>
      </w:pPr>
      <w:r>
        <w:rPr>
          <w:rFonts w:hint="eastAsia" w:ascii="宋体" w:hAnsi="宋体" w:cs="宋体"/>
          <w:bCs/>
          <w:color w:val="auto"/>
          <w:szCs w:val="21"/>
          <w:highlight w:val="none"/>
        </w:rPr>
        <w:t xml:space="preserve">对突发紧急、技术要求高、情形复杂、跨区以及与历史工作有衔接要求的项目，苏州市自然资源和规划局可在中标的3家单位内，指定服务单位进行委托评估。</w:t>
      </w:r>
      <w:r/>
    </w:p>
    <w:p>
      <w:pPr>
        <w:ind w:firstLine="420"/>
        <w:spacing w:line="360" w:lineRule="auto"/>
        <w:rPr>
          <w:rFonts w:ascii="宋体" w:hAnsi="宋体" w:cs="Arial Unicode MS"/>
          <w:b/>
          <w:color w:val="auto"/>
          <w:szCs w:val="21"/>
          <w:highlight w:val="none"/>
        </w:rPr>
        <w:outlineLvl w:val="0"/>
      </w:pPr>
      <w:r>
        <w:rPr>
          <w:rFonts w:hint="eastAsia" w:ascii="宋体" w:hAnsi="宋体" w:cs="宋体"/>
          <w:bCs/>
          <w:color w:val="auto"/>
          <w:szCs w:val="21"/>
          <w:highlight w:val="none"/>
        </w:rPr>
        <w:t xml:space="preserve">4、确定土地评估机构后的其他要求：</w:t>
      </w:r>
      <w:r/>
    </w:p>
    <w:p>
      <w:pPr>
        <w:ind w:firstLine="420"/>
        <w:spacing w:line="360" w:lineRule="auto"/>
        <w:rPr>
          <w:rFonts w:ascii="宋体" w:hAnsi="宋体" w:cs="Calibri"/>
          <w:color w:val="auto"/>
          <w:szCs w:val="21"/>
          <w:highlight w:val="none"/>
        </w:rPr>
      </w:pPr>
      <w:r>
        <w:rPr>
          <w:rFonts w:hint="eastAsia" w:ascii="宋体" w:hAnsi="宋体" w:cs="宋体"/>
          <w:color w:val="auto"/>
          <w:szCs w:val="21"/>
          <w:highlight w:val="none"/>
        </w:rPr>
        <w:t xml:space="preserve">（1）接受委托，按时开始评估工作。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（2）开展评估。具体内容详见招标文件第四章。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（3）乙方保证按国家及行业标准提供服务，乙方对评估结果的合法合规性、合理性等负责。</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5、结算方式：本项目按实结算（基本折率*（1-优惠率））。</w:t>
      </w:r>
      <w:r>
        <w:rPr>
          <w:rFonts w:hint="eastAsia" w:ascii="宋体" w:hAnsi="宋体" w:cs="宋体"/>
          <w:color w:val="auto"/>
          <w:szCs w:val="21"/>
          <w:highlight w:val="none"/>
        </w:rPr>
        <w:t xml:space="preserve">甲方每半年（以合同签订之日起每6个月为半年）支付一次费用，根据半年度的工作费用总额对应的收费标准、基本折率、优惠率进行结算。甲方付款时乙方需提供对应的发票及甲方要求提供的付款凭证资料。</w:t>
      </w:r>
      <w:r/>
    </w:p>
    <w:p>
      <w:pPr>
        <w:pStyle w:val="759"/>
        <w:ind w:left="0" w:firstLine="420"/>
        <w:spacing w:line="360" w:lineRule="auto"/>
        <w:rPr>
          <w:rFonts w:hint="eastAsia" w:ascii="宋体" w:hAnsi="宋体" w:cs="宋体"/>
          <w:color w:val="auto"/>
          <w:szCs w:val="21"/>
          <w:highlight w:val="none"/>
        </w:rPr>
      </w:pPr>
      <w:r>
        <w:rPr>
          <w:rFonts w:hint="eastAsia" w:ascii="宋体" w:hAnsi="宋体"/>
          <w:color w:val="auto"/>
          <w:szCs w:val="21"/>
          <w:highlight w:val="none"/>
          <w:lang w:val="en-US" w:eastAsia="zh-CN"/>
        </w:rPr>
        <w:t xml:space="preserve">6、若遇到重大项目评估需求或突发紧急情况，中标单位须在接到甲方通知后立刻响应，并于一小时内到达现场进行处理。</w:t>
      </w:r>
      <w:r/>
    </w:p>
    <w:p>
      <w:pPr>
        <w:pStyle w:val="728"/>
        <w:ind w:firstLine="420"/>
        <w:spacing w:line="360" w:lineRule="auto"/>
        <w:widowControl/>
        <w:rPr>
          <w:rFonts w:hint="default" w:hAnsi="宋体" w:eastAsia="宋体" w:cs="宋体"/>
          <w:color w:val="auto"/>
          <w:sz w:val="21"/>
          <w:szCs w:val="21"/>
          <w:highlight w:val="none"/>
        </w:rPr>
      </w:pPr>
      <w:r>
        <w:rPr>
          <w:rFonts w:hAnsi="宋体" w:eastAsia="宋体" w:cs="宋体"/>
          <w:color w:val="auto"/>
          <w:sz w:val="21"/>
          <w:szCs w:val="21"/>
          <w:highlight w:val="none"/>
        </w:rPr>
        <w:t xml:space="preserve">四、下列文件应视为构成并作为阅读和理解本合同书的组成部分，即：</w:t>
      </w:r>
      <w:r/>
    </w:p>
    <w:p>
      <w:pPr>
        <w:pStyle w:val="728"/>
        <w:ind w:firstLine="420"/>
        <w:spacing w:line="360" w:lineRule="auto"/>
        <w:widowControl/>
        <w:rPr>
          <w:rFonts w:hint="default" w:hAnsi="宋体" w:eastAsia="宋体" w:cs="宋体"/>
          <w:color w:val="auto"/>
          <w:sz w:val="21"/>
          <w:szCs w:val="21"/>
          <w:highlight w:val="none"/>
        </w:rPr>
      </w:pPr>
      <w:r>
        <w:rPr>
          <w:rFonts w:hAnsi="宋体" w:eastAsia="宋体" w:cs="宋体"/>
          <w:color w:val="auto"/>
          <w:sz w:val="21"/>
          <w:szCs w:val="21"/>
          <w:highlight w:val="none"/>
        </w:rPr>
        <w:t xml:space="preserve">1、招标文件；</w:t>
      </w:r>
      <w:r/>
    </w:p>
    <w:p>
      <w:pPr>
        <w:pStyle w:val="728"/>
        <w:ind w:firstLine="420"/>
        <w:spacing w:line="360" w:lineRule="auto"/>
        <w:widowControl/>
        <w:rPr>
          <w:rFonts w:hint="default" w:hAnsi="宋体" w:eastAsia="宋体" w:cs="宋体"/>
          <w:color w:val="auto"/>
          <w:sz w:val="21"/>
          <w:szCs w:val="21"/>
          <w:highlight w:val="none"/>
        </w:rPr>
      </w:pPr>
      <w:r>
        <w:rPr>
          <w:rFonts w:hAnsi="宋体" w:eastAsia="宋体" w:cs="宋体"/>
          <w:color w:val="auto"/>
          <w:sz w:val="21"/>
          <w:szCs w:val="21"/>
          <w:highlight w:val="none"/>
        </w:rPr>
        <w:t xml:space="preserve">2、投标文件及其附件（含投标人在评标期间递交和确认并经招标人同意的对有关问题的补充资料和澄清文件等，如果有）；</w:t>
      </w:r>
      <w:r/>
    </w:p>
    <w:p>
      <w:pPr>
        <w:pStyle w:val="728"/>
        <w:ind w:firstLine="420"/>
        <w:spacing w:line="360" w:lineRule="auto"/>
        <w:widowControl/>
        <w:rPr>
          <w:rFonts w:hint="default" w:hAnsi="宋体" w:eastAsia="宋体" w:cs="宋体"/>
          <w:color w:val="auto"/>
          <w:sz w:val="21"/>
          <w:szCs w:val="21"/>
          <w:highlight w:val="none"/>
        </w:rPr>
      </w:pPr>
      <w:r>
        <w:rPr>
          <w:rFonts w:hAnsi="宋体" w:eastAsia="宋体" w:cs="宋体"/>
          <w:color w:val="auto"/>
          <w:sz w:val="21"/>
          <w:szCs w:val="21"/>
          <w:highlight w:val="none"/>
        </w:rPr>
        <w:t xml:space="preserve">3、中标通知书。</w:t>
      </w:r>
      <w:r/>
    </w:p>
    <w:p>
      <w:pPr>
        <w:pStyle w:val="728"/>
        <w:ind w:firstLine="420"/>
        <w:spacing w:line="360" w:lineRule="auto"/>
        <w:widowControl/>
        <w:rPr>
          <w:rFonts w:hint="default" w:hAnsi="宋体" w:eastAsia="宋体" w:cs="宋体"/>
          <w:color w:val="auto"/>
          <w:sz w:val="21"/>
          <w:szCs w:val="21"/>
          <w:highlight w:val="none"/>
        </w:rPr>
      </w:pPr>
      <w:r>
        <w:rPr>
          <w:rFonts w:hAnsi="宋体" w:eastAsia="宋体" w:cs="宋体"/>
          <w:color w:val="auto"/>
          <w:sz w:val="21"/>
          <w:szCs w:val="21"/>
          <w:highlight w:val="none"/>
        </w:rPr>
        <w:t xml:space="preserve">5、中国政府根据现行税法规定对乙方征收的、与本合同有关的一切税费，均由乙方负担。</w:t>
      </w:r>
      <w:r/>
    </w:p>
    <w:p>
      <w:pPr>
        <w:pStyle w:val="728"/>
        <w:ind w:firstLine="420"/>
        <w:spacing w:line="360" w:lineRule="auto"/>
        <w:widowControl/>
        <w:rPr>
          <w:rFonts w:hint="default" w:hAnsi="宋体" w:eastAsia="宋体" w:cs="宋体"/>
          <w:color w:val="auto"/>
          <w:sz w:val="21"/>
          <w:szCs w:val="21"/>
          <w:highlight w:val="none"/>
        </w:rPr>
      </w:pPr>
      <w:r>
        <w:rPr>
          <w:rFonts w:hAnsi="宋体" w:eastAsia="宋体" w:cs="宋体"/>
          <w:color w:val="auto"/>
          <w:sz w:val="21"/>
          <w:szCs w:val="21"/>
          <w:highlight w:val="none"/>
        </w:rPr>
        <w:t xml:space="preserve">五、验收：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验收时间：全部服务内容完成后，甲方5个工作日内启动履约验收程序。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验收内容：包括服务质量、服务进度、人员和设备配备情况、行业和安全标准、项目需求和服务承诺、合同履约时间地点和方式等。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验收方式为书面审核。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甲方是履约验收工作的责任主体，成立验收小组负责采购项目履约验收具体工作。乙方参照验收内容，书面提供工作报告、附加增值服务（如有）及其合规性、完整性等材料。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履约验收合格后，根据本合同约定进行结算；存在异议的，甲乙双方协商解决，或通过法律途径解决。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六、违约责任</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1、甲方对本合同规定的义务未履行或履行不力的，乙方可依法向甲方要求经济赔偿；</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1、甲方违约责任及违约金支付</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方无故逾期付款的，应以逾期未付款项为计算基数，自逾期之日起，按照违约行为发生时全国银行间同业拆借中心受权公布1年期贷款市场报价利率（LPR）的标准，向乙方支付逾期付款利息损失，但逾期付款利息损失总额不超过逾期付款金额的5%。</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2、乙方违约责任及违约金支付</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乙方对本合同规定的义务未履行或履行不力的，给甲方造成损失的，甲方依法有权要求其承担相应违约责任并赔偿所有损失；达到本合同第八条或其他约定情形的，甲方有权解除本合同，乙方支付合同总额30%的违约金。</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（2）乙方违反保密要求的，甲方有权立即单方解除合同，乙方退还甲方全部款项，并支付甲方合同总金额30%违约金，违约金不足以补偿甲方损失的，乙方仍应补偿甲方所受损失。</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乙方应执行国家有关规定（如最低工资标准和其他规定），负责乙方员工的生病、事故、伤残、死亡和劳务纠纷，甲方不承担任何相关责任。乙方尤其负有对自己员工的安全责任，甲方不承担任何相关责任。</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（4）乙方履约过程中给任何第三方造成的损失或对第三方侵权的，乙方应自行承担相关责任；给甲方造成损失的，甲方有权予以追偿。</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（5）在合同生效后，乙方无故要求解除合同的，应向甲方偿付合同价款30%的违约金，违约金不足以补偿损失的，甲方有权要求乙方补足。</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七、不可抗力</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1、甲、乙双方如果因不可抗力而导致合同义务的延误或不能履行，不承担没收履约保证金、误期赔偿或终止合同的责任。但合同一方延迟履行后发生不可抗力的，不能免除责任。</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在不可抗力事件发生后，受影响的一方应尽快将不可抗力的情况和原因通知另一方，以减轻可能给对方造成的损失，并应当在合理期限内提供证明。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八、合同的解除：</w:t>
      </w:r>
      <w:r/>
    </w:p>
    <w:p>
      <w:pPr>
        <w:pStyle w:val="742"/>
        <w:ind w:firstLine="42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1、甲方和乙方协商一致，可以解除合同。</w:t>
      </w:r>
      <w:r/>
    </w:p>
    <w:p>
      <w:pPr>
        <w:pStyle w:val="742"/>
        <w:ind w:firstLine="42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2、合同的部分和全部都不得擅自转让。</w:t>
      </w:r>
      <w:r/>
    </w:p>
    <w:p>
      <w:pPr>
        <w:pStyle w:val="742"/>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3、出现下列情况之一，甲方可以解除合同：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（1）对乙方有效投诉记录累计达3次；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（2）在合同有效期内，乙方破产、解散、清算、停业、被行业主管部门取消经营资格以及其他原因无法提供服务的；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（3）在合同有效期内，乙方擅自变更、转让、租借定点资格的；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（4）不如实反映情况，提供虚假材料的；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（5）未按承诺的价格提供服务的；</w:t>
      </w:r>
      <w:r/>
    </w:p>
    <w:p>
      <w:pPr>
        <w:pStyle w:val="742"/>
        <w:ind w:firstLine="42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（6）部分项目需要在当天出具完整评估报告的，乙方如累计2次无法做到，甲方有权终止本合同；</w:t>
      </w:r>
      <w:r/>
    </w:p>
    <w:p>
      <w:pPr>
        <w:pStyle w:val="742"/>
        <w:ind w:firstLine="42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（7）乙方未在甲方规定的时间内提交估价报告超过5次的（含5次）；</w:t>
      </w:r>
      <w:r/>
    </w:p>
    <w:p>
      <w:pPr>
        <w:pStyle w:val="742"/>
        <w:ind w:firstLine="42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（8）违反本合同约定的保密或知识产权约定情形。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在任何情况下都不得用任何不正当行为影响、干扰采购单位的按规定的办法自主选择定点供应商的行为（包括回扣、非公众性赠送礼品、贬损其他商家、价格欺诈等）。一经发现可立即解除合同，同时提请有关部门追究有关当事人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bCs/>
          <w:color w:val="auto"/>
          <w:szCs w:val="21"/>
          <w:highlight w:val="none"/>
        </w:rPr>
        <w:t xml:space="preserve">合同解除异议权的行使期间：自解除通知到达对方之日起30日内。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九、保密条款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严格遵守保密义务，对在合同实施过程中接触到的全部档案材料、敏感信息予以保密，不得向本合同主体外的第三方泄露或用于其他用途。如因乙方原因发生泄密，甲方有权要求乙方承担责任并可立即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2.项目所涉及的各种档案信息数据、影像、资料所有权归属采购单位，所有信息数据、纸质资料、影像资料、存储介质资料及各种清单等在项目结束时必须移交采购单位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3.乙方须指示其雇员遵守本条规定的保密义务，并对其雇员的泄密行为承担连带责任。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十、知识产权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1.乙方保证所提供的服务与交付的项目或文件不存在任何权利瑕疵，包括但不限于知识产权瑕疵等。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双方履行本协议过程中形成的项目成果（含阶段性成果、数据、报告等）的知识产权（包括但不限于著作权、专利申请权等）及相关权益，自交付之日起即全部归属于甲方所有。未经甲方书面同意，乙方不得以任何形式向任何第三方披露。</w:t>
      </w:r>
      <w:r/>
    </w:p>
    <w:p>
      <w:pPr>
        <w:ind w:firstLine="420"/>
        <w:spacing w:line="360" w:lineRule="auto"/>
        <w:tabs>
          <w:tab w:val="left" w:pos="992" w:leader="none"/>
        </w:tabs>
        <w:rPr>
          <w:rFonts w:ascii="宋体" w:hAnsi="宋体" w:cs="宋体"/>
          <w:color w:val="auto"/>
          <w:szCs w:val="21"/>
          <w:highlight w:val="none"/>
        </w:rPr>
      </w:pPr>
      <w:r>
        <w:rPr>
          <w:rFonts w:hint="eastAsia" w:ascii="宋体" w:hAnsi="宋体" w:cs="宋体"/>
          <w:color w:val="auto"/>
          <w:szCs w:val="21"/>
          <w:highlight w:val="none"/>
        </w:rPr>
        <w:t xml:space="preserve">十一、</w:t>
      </w:r>
      <w:r>
        <w:rPr>
          <w:rFonts w:hint="eastAsia" w:ascii="宋体" w:hAnsi="宋体" w:cs="宋体"/>
          <w:color w:val="auto"/>
          <w:szCs w:val="21"/>
          <w:highlight w:val="none"/>
        </w:rPr>
        <w:t xml:space="preserve">人员要求：乙方应安排响应文件中所承诺的人员资质要求与实际投入本项目工作人员一致。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十二、争议处置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在执行本合同中所发生的一切争议，各方（甲方、乙方）应通过友好协商的办法进行解决，如协商不能解决的，有关当事方可向甲方所在地人民法院提起诉讼。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十三、合同生效及其它：</w:t>
      </w:r>
      <w:r/>
    </w:p>
    <w:p>
      <w:pPr>
        <w:pStyle w:val="742"/>
        <w:ind w:firstLine="42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1、本合同经甲乙双方签字并盖章后生效，同时进行电子备案。</w:t>
      </w:r>
      <w:r/>
    </w:p>
    <w:p>
      <w:pPr>
        <w:pStyle w:val="742"/>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2、合同在执行过程中出现的未尽事宜，双方在不违背本合同的原则下协商解决，协商结果以书面形式记录在案，作为本合同附件，与本合同具有同等效力。</w:t>
      </w:r>
      <w:r/>
    </w:p>
    <w:p>
      <w:pPr>
        <w:pStyle w:val="742"/>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3、评估报告不接受电子签章。</w:t>
      </w:r>
      <w:r/>
    </w:p>
    <w:p>
      <w:pPr>
        <w:pStyle w:val="742"/>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4、本合同一式四份，甲乙双方各执一份，招标代理机构一份，政府采购监督管理部门一份，每份具有同等法律效力。</w:t>
      </w:r>
      <w:r/>
    </w:p>
    <w:p>
      <w:pPr>
        <w:pStyle w:val="742"/>
        <w:ind w:firstLine="480"/>
        <w:jc w:val="left"/>
        <w:spacing w:line="400" w:lineRule="exact"/>
        <w:rPr>
          <w:rFonts w:ascii="宋体" w:hAnsi="宋体"/>
          <w:color w:val="auto"/>
          <w:sz w:val="21"/>
          <w:szCs w:val="21"/>
          <w:highlight w:val="none"/>
        </w:rPr>
      </w:pPr>
      <w:r>
        <w:rPr>
          <w:rFonts w:ascii="宋体" w:hAnsi="宋体"/>
          <w:color w:val="auto"/>
          <w:sz w:val="21"/>
          <w:szCs w:val="21"/>
          <w:highlight w:val="none"/>
        </w:rPr>
      </w:r>
      <w:r/>
    </w:p>
    <w:p>
      <w:pPr>
        <w:pStyle w:val="742"/>
        <w:ind w:firstLine="480"/>
        <w:jc w:val="left"/>
        <w:spacing w:line="400" w:lineRule="exact"/>
        <w:rPr>
          <w:rFonts w:ascii="宋体" w:hAnsi="宋体"/>
          <w:color w:val="auto"/>
          <w:sz w:val="21"/>
          <w:szCs w:val="21"/>
          <w:highlight w:val="none"/>
        </w:rPr>
      </w:pPr>
      <w:r>
        <w:rPr>
          <w:rFonts w:ascii="宋体" w:hAnsi="宋体"/>
          <w:color w:val="auto"/>
          <w:sz w:val="21"/>
          <w:szCs w:val="21"/>
          <w:highlight w:val="none"/>
        </w:rPr>
      </w:r>
      <w:r/>
    </w:p>
    <w:p>
      <w:pPr>
        <w:pStyle w:val="742"/>
        <w:ind w:firstLine="420"/>
        <w:jc w:val="left"/>
        <w:spacing w:line="400" w:lineRule="exact"/>
        <w:rPr>
          <w:rFonts w:ascii="宋体" w:hAnsi="宋体"/>
          <w:color w:val="auto"/>
          <w:sz w:val="21"/>
          <w:szCs w:val="21"/>
          <w:highlight w:val="none"/>
        </w:rPr>
      </w:pPr>
      <w:r>
        <w:rPr>
          <w:rFonts w:hint="eastAsia" w:ascii="宋体" w:hAnsi="宋体" w:cs="宋体"/>
          <w:color w:val="auto"/>
          <w:sz w:val="21"/>
          <w:szCs w:val="21"/>
          <w:highlight w:val="none"/>
        </w:rPr>
        <w:t xml:space="preserve">甲方（盖章）：甲方代表：</w:t>
      </w:r>
      <w:r/>
    </w:p>
    <w:p>
      <w:pPr>
        <w:pStyle w:val="742"/>
        <w:ind w:firstLine="420"/>
        <w:jc w:val="left"/>
        <w:spacing w:line="400" w:lineRule="exact"/>
        <w:rPr>
          <w:rFonts w:ascii="宋体" w:hAnsi="宋体"/>
          <w:color w:val="auto"/>
          <w:sz w:val="21"/>
          <w:szCs w:val="21"/>
          <w:highlight w:val="none"/>
        </w:rPr>
      </w:pPr>
      <w:r>
        <w:rPr>
          <w:rFonts w:hint="eastAsia" w:ascii="宋体" w:hAnsi="宋体" w:cs="宋体"/>
          <w:color w:val="auto"/>
          <w:sz w:val="21"/>
          <w:szCs w:val="21"/>
          <w:highlight w:val="none"/>
        </w:rPr>
        <w:t xml:space="preserve">日期：年月日</w:t>
      </w:r>
      <w:r/>
    </w:p>
    <w:p>
      <w:pPr>
        <w:pStyle w:val="742"/>
        <w:ind w:firstLine="420"/>
        <w:jc w:val="left"/>
        <w:spacing w:line="400" w:lineRule="exact"/>
        <w:rPr>
          <w:rFonts w:ascii="宋体" w:hAnsi="宋体"/>
          <w:color w:val="auto"/>
          <w:sz w:val="21"/>
          <w:szCs w:val="21"/>
          <w:highlight w:val="none"/>
        </w:rPr>
      </w:pPr>
      <w:r>
        <w:rPr>
          <w:rFonts w:ascii="宋体" w:hAnsi="宋体"/>
          <w:color w:val="auto"/>
          <w:sz w:val="21"/>
          <w:szCs w:val="21"/>
          <w:highlight w:val="none"/>
        </w:rPr>
      </w:r>
      <w:r/>
    </w:p>
    <w:p>
      <w:pPr>
        <w:pStyle w:val="742"/>
        <w:ind w:firstLine="420"/>
        <w:jc w:val="left"/>
        <w:spacing w:line="400" w:lineRule="exact"/>
        <w:rPr>
          <w:rFonts w:ascii="宋体" w:hAnsi="宋体"/>
          <w:color w:val="auto"/>
          <w:sz w:val="21"/>
          <w:szCs w:val="21"/>
          <w:highlight w:val="none"/>
        </w:rPr>
      </w:pPr>
      <w:r>
        <w:rPr>
          <w:rFonts w:ascii="宋体" w:hAnsi="宋体"/>
          <w:color w:val="auto"/>
          <w:sz w:val="21"/>
          <w:szCs w:val="21"/>
          <w:highlight w:val="none"/>
        </w:rPr>
      </w:r>
      <w:r/>
    </w:p>
    <w:p>
      <w:pPr>
        <w:pStyle w:val="742"/>
        <w:ind w:firstLine="420"/>
        <w:jc w:val="left"/>
        <w:spacing w:line="400" w:lineRule="exact"/>
        <w:rPr>
          <w:rFonts w:ascii="宋体" w:hAnsi="宋体"/>
          <w:color w:val="auto"/>
          <w:sz w:val="21"/>
          <w:szCs w:val="21"/>
          <w:highlight w:val="none"/>
        </w:rPr>
      </w:pPr>
      <w:r>
        <w:rPr>
          <w:rFonts w:hint="eastAsia" w:ascii="宋体" w:hAnsi="宋体" w:cs="宋体"/>
          <w:color w:val="auto"/>
          <w:sz w:val="21"/>
          <w:szCs w:val="21"/>
          <w:highlight w:val="none"/>
        </w:rPr>
        <w:t xml:space="preserve">乙方（盖章）：乙方代表：</w:t>
      </w:r>
      <w:r/>
    </w:p>
    <w:p>
      <w:pPr>
        <w:pStyle w:val="742"/>
        <w:ind w:firstLine="420"/>
        <w:jc w:val="left"/>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80"/>
        <w:spacing w:line="400" w:lineRule="exact"/>
        <w:rPr>
          <w:rFonts w:ascii="宋体" w:hAnsi="宋体" w:cs="Calibri"/>
          <w:color w:val="auto"/>
          <w:spacing w:val="-10"/>
          <w:szCs w:val="21"/>
          <w:highlight w:val="none"/>
        </w:rPr>
      </w:pPr>
      <w:r>
        <w:rPr>
          <w:rFonts w:hint="eastAsia" w:ascii="宋体" w:hAnsi="宋体" w:cs="宋体"/>
          <w:color w:val="auto"/>
          <w:spacing w:val="-10"/>
          <w:szCs w:val="21"/>
          <w:highlight w:val="none"/>
        </w:rPr>
        <w:t xml:space="preserve">账号：</w:t>
      </w:r>
      <w:r/>
    </w:p>
    <w:p>
      <w:pPr>
        <w:ind w:firstLine="420"/>
        <w:jc w:val="center"/>
        <w:spacing w:line="400" w:lineRule="exact"/>
        <w:rPr>
          <w:rFonts w:ascii="宋体" w:hAnsi="宋体" w:cs="Calibri"/>
          <w:color w:val="auto"/>
          <w:szCs w:val="21"/>
          <w:highlight w:val="none"/>
        </w:rPr>
      </w:pPr>
      <w:r>
        <w:rPr>
          <w:rFonts w:ascii="宋体" w:hAnsi="宋体" w:cs="Calibri"/>
          <w:color w:val="auto"/>
          <w:szCs w:val="21"/>
          <w:highlight w:val="none"/>
        </w:rPr>
      </w:r>
      <w:r/>
    </w:p>
    <w:p>
      <w:pPr>
        <w:ind w:firstLine="420"/>
        <w:jc w:val="center"/>
        <w:spacing w:line="400" w:lineRule="exact"/>
        <w:rPr>
          <w:rFonts w:ascii="宋体" w:hAnsi="宋体" w:cs="Calibri"/>
          <w:color w:val="auto"/>
          <w:szCs w:val="21"/>
          <w:highlight w:val="none"/>
        </w:rPr>
      </w:pPr>
      <w:r>
        <w:rPr>
          <w:rFonts w:ascii="宋体" w:hAnsi="宋体" w:cs="Calibri"/>
          <w:color w:val="auto"/>
          <w:szCs w:val="21"/>
          <w:highlight w:val="none"/>
        </w:rPr>
      </w:r>
      <w:r/>
    </w:p>
    <w:p>
      <w:pPr>
        <w:pStyle w:val="936"/>
        <w:ind w:firstLine="0"/>
        <w:spacing w:before="120" w:after="120" w:line="400" w:lineRule="exact"/>
        <w:rPr>
          <w:rFonts w:ascii="宋体" w:hAnsi="宋体" w:cs="Calibri"/>
          <w:color w:val="auto"/>
          <w:sz w:val="21"/>
          <w:szCs w:val="21"/>
          <w:highlight w:val="none"/>
        </w:rPr>
      </w:pPr>
      <w:r>
        <w:rPr>
          <w:rFonts w:hint="eastAsia" w:ascii="宋体" w:hAnsi="宋体" w:cs="宋体"/>
          <w:color w:val="auto"/>
          <w:sz w:val="21"/>
          <w:szCs w:val="21"/>
          <w:highlight w:val="none"/>
        </w:rPr>
        <w:t xml:space="preserve">日期：年月日</w:t>
      </w:r>
      <w:r>
        <w:rPr>
          <w:rFonts w:hint="eastAsia" w:ascii="宋体" w:hAnsi="宋体" w:cs="Calibri"/>
          <w:color w:val="auto"/>
          <w:sz w:val="21"/>
          <w:szCs w:val="21"/>
          <w:highlight w:val="none"/>
        </w:rPr>
        <w:tab/>
      </w:r>
      <w:r/>
    </w:p>
    <w:p>
      <w:pPr>
        <w:pStyle w:val="936"/>
        <w:ind w:firstLine="0"/>
        <w:spacing w:before="120" w:after="120" w:line="400" w:lineRule="exact"/>
        <w:rPr>
          <w:rFonts w:ascii="宋体" w:hAnsi="宋体" w:cs="Calibri"/>
          <w:b/>
          <w:color w:val="auto"/>
          <w:sz w:val="21"/>
          <w:szCs w:val="21"/>
          <w:highlight w:val="none"/>
        </w:rPr>
      </w:pPr>
      <w:r>
        <w:rPr>
          <w:rFonts w:hint="eastAsia" w:ascii="宋体" w:hAnsi="宋体" w:cs="宋体"/>
          <w:b/>
          <w:color w:val="auto"/>
          <w:sz w:val="21"/>
          <w:szCs w:val="21"/>
          <w:highlight w:val="none"/>
        </w:rPr>
        <w:t xml:space="preserve">附件（暂无）</w:t>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hint="eastAsia" w:ascii="宋体" w:cs="宋体"/>
          <w:b/>
          <w:color w:val="auto"/>
          <w:sz w:val="32"/>
          <w:szCs w:val="32"/>
          <w:highlight w:val="none"/>
        </w:rPr>
        <w:t xml:space="preserve">第六章评标方法和评分标准</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一、评标方法：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1.评标办法采用</w:t>
      </w:r>
      <w:r>
        <w:rPr>
          <w:rFonts w:hint="eastAsia" w:ascii="宋体" w:hAnsi="宋体" w:cs="宋体"/>
          <w:b/>
          <w:color w:val="auto"/>
          <w:szCs w:val="21"/>
          <w:highlight w:val="none"/>
        </w:rPr>
        <w:t xml:space="preserve">综合评分法</w:t>
      </w:r>
      <w:r>
        <w:rPr>
          <w:rFonts w:hint="eastAsia" w:ascii="宋体" w:hAnsi="宋体" w:cs="宋体"/>
          <w:color w:val="auto"/>
          <w:szCs w:val="21"/>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单位为排名第一的中标候选人。</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评标时，评标委员会成员分别对每个有效投标单位的标书进行评价、打分，直接将评委的评分按算术平均方法，计算出每个有效投标单位的评委评审得分（保留小数点后两位）。投标报价得分直接计算取得。评委评审得分和投标报价得分相加为投标单位的综合评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投标单位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jc w:val="left"/>
        <w:spacing w:line="360" w:lineRule="auto"/>
        <w:tabs>
          <w:tab w:val="left" w:pos="567" w:leader="none"/>
        </w:tabs>
        <w:rPr>
          <w:rFonts w:ascii="宋体" w:hAnsi="宋体" w:cs="宋体"/>
          <w:bCs/>
          <w:color w:val="auto"/>
          <w:szCs w:val="21"/>
          <w:highlight w:val="none"/>
        </w:rPr>
      </w:pPr>
      <w:r>
        <w:rPr>
          <w:rFonts w:hint="eastAsia" w:ascii="宋体" w:hAnsi="宋体" w:cs="宋体"/>
          <w:color w:val="auto"/>
          <w:szCs w:val="21"/>
          <w:highlight w:val="none"/>
        </w:rPr>
        <w:t xml:space="preserve">4.</w:t>
      </w:r>
      <w:r>
        <w:rPr>
          <w:rFonts w:hint="eastAsia" w:ascii="宋体" w:hAnsi="宋体" w:cs="宋体"/>
          <w:bCs/>
          <w:color w:val="auto"/>
          <w:szCs w:val="21"/>
          <w:highlight w:val="none"/>
        </w:rPr>
        <w:t xml:space="preserve">节能产品和环境标志产品</w:t>
      </w:r>
      <w:r/>
    </w:p>
    <w:p>
      <w:pPr>
        <w:ind w:firstLine="480"/>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根据苏</w:t>
      </w:r>
      <w:r>
        <w:rPr>
          <w:rFonts w:hint="eastAsia" w:ascii="宋体" w:hAnsi="宋体" w:cs="宋体"/>
          <w:bCs/>
          <w:color w:val="auto"/>
          <w:szCs w:val="21"/>
          <w:highlight w:val="none"/>
        </w:rPr>
        <w:t xml:space="preserve">州市财政局《关于贯彻执行绿色采购、促进残疾人就业和支持监狱企业发展有关政策的通知》（苏财购（2019）10号）文件的规定，本次采购的产品中如属于《节能产品政府采购品目清单》中强制采购的产品，须在投标文件中提供具备国家确定的认证机构的节能产品认证证书；如为《环境标志产品政府采购品目清单》中的产品，须在投标文件中提供具备国家确定的认证机构的环保标志产品认证证书。投标单位可通过“中国政府采购网”（http://www.ccgp.gov.cn）查询认证机构情况，未提供或提供不全认证证书的将视为未实质性响应采购要求。</w:t>
      </w:r>
      <w:r/>
    </w:p>
    <w:p>
      <w:pPr>
        <w:pStyle w:val="905"/>
        <w:rPr>
          <w:rFonts w:ascii="宋体" w:hAnsi="宋体" w:cs="宋体"/>
          <w:color w:val="auto"/>
          <w:sz w:val="21"/>
          <w:szCs w:val="21"/>
          <w:highlight w:val="none"/>
        </w:rPr>
      </w:pPr>
      <w:r>
        <w:rPr>
          <w:rFonts w:hint="eastAsia" w:ascii="宋体" w:hAnsi="宋体" w:cs="宋体"/>
          <w:color w:val="auto"/>
          <w:sz w:val="21"/>
          <w:szCs w:val="21"/>
          <w:highlight w:val="none"/>
        </w:rPr>
        <w:t xml:space="preserve">5.中、小、微企业（本项目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pStyle w:val="905"/>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其他未列明行业。《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905"/>
        <w:rPr>
          <w:rFonts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 w:val="21"/>
          <w:szCs w:val="21"/>
          <w:highlight w:val="none"/>
        </w:rPr>
        <w:t xml:space="preserve">服务类项目中供应商若使用退休人员，将不享受相关扶持政策。</w:t>
      </w:r>
      <w:r/>
    </w:p>
    <w:p>
      <w:pPr>
        <w:pStyle w:val="905"/>
        <w:rPr>
          <w:rFonts w:ascii="宋体" w:hAnsi="宋体" w:cs="宋体"/>
          <w:color w:val="auto"/>
          <w:sz w:val="21"/>
          <w:szCs w:val="21"/>
          <w:highlight w:val="none"/>
        </w:rPr>
      </w:pPr>
      <w:r>
        <w:rPr>
          <w:rFonts w:hint="eastAsia" w:ascii="宋体" w:hAnsi="宋体" w:cs="宋体"/>
          <w:color w:val="auto"/>
          <w:sz w:val="21"/>
          <w:szCs w:val="21"/>
          <w:highlight w:val="none"/>
        </w:rPr>
        <w:t xml:space="preserve">6.残疾人福利性单位（本项目为专门面向中小企业采购的项目或者采购包，不再执行价格评审优惠的扶持政策）</w:t>
      </w:r>
      <w:r/>
    </w:p>
    <w:p>
      <w:pPr>
        <w:pStyle w:val="905"/>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905"/>
        <w:rPr>
          <w:rFonts w:ascii="宋体" w:hAnsi="宋体" w:cs="宋体"/>
          <w:color w:val="auto"/>
          <w:sz w:val="21"/>
          <w:szCs w:val="21"/>
          <w:highlight w:val="none"/>
        </w:rPr>
      </w:pPr>
      <w:r>
        <w:rPr>
          <w:rFonts w:hint="eastAsia" w:ascii="宋体" w:hAnsi="宋体" w:cs="宋体"/>
          <w:color w:val="auto"/>
          <w:sz w:val="21"/>
          <w:szCs w:val="21"/>
          <w:highlight w:val="none"/>
        </w:rPr>
        <w:t xml:space="preserve">7.监狱企业（本项目为专门面向中小企业采购的项目或者采购包，不再执行价格评审优惠的扶持政策）</w:t>
      </w:r>
      <w:r/>
    </w:p>
    <w:p>
      <w:pPr>
        <w:pStyle w:val="905"/>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72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8.根据</w:t>
      </w:r>
      <w:r>
        <w:rPr>
          <w:rFonts w:hint="eastAsia" w:ascii="宋体" w:hAnsi="宋体" w:cs="宋体"/>
          <w:color w:val="auto"/>
          <w:spacing w:val="-2"/>
          <w:szCs w:val="21"/>
          <w:highlight w:val="none"/>
        </w:rPr>
        <w:t xml:space="preserve">苏财购〔2025〕62号文件要求，关于推动解决政府采购异常低价问题相关工作的通知，对</w:t>
      </w:r>
      <w:r>
        <w:rPr>
          <w:rFonts w:hint="eastAsia" w:ascii="宋体" w:hAnsi="宋体" w:cs="宋体"/>
          <w:color w:val="auto"/>
          <w:szCs w:val="21"/>
          <w:highlight w:val="none"/>
        </w:rPr>
        <w:t xml:space="preserve">异常低价响应进行审查：</w:t>
      </w:r>
      <w:r/>
    </w:p>
    <w:p>
      <w:pPr>
        <w:pStyle w:val="938"/>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①评审过程中出现下列情形之一的，评审委员会应当启动异常低价响应审查程序：</w:t>
      </w:r>
      <w:r/>
    </w:p>
    <w:p>
      <w:pPr>
        <w:pStyle w:val="938"/>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A.响应报价低于采购项目预算 50%的，即响应报价&lt;采购项目预算 ×50%；</w:t>
      </w:r>
      <w:r/>
    </w:p>
    <w:p>
      <w:pPr>
        <w:pStyle w:val="938"/>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B.响应报价低于采购项目最高限价45% 的，即响应报价&lt;采购项目最高限价 ×45%；</w:t>
      </w:r>
      <w:r/>
    </w:p>
    <w:p>
      <w:pPr>
        <w:pStyle w:val="938"/>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C.评审委员会认定的供应商报价过低、有可能影响产品质量或者不能诚信履约的其他情形。</w:t>
      </w:r>
      <w:r/>
    </w:p>
    <w:p>
      <w:pPr>
        <w:pStyle w:val="938"/>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rPr>
          <w:color w:val="auto"/>
          <w:highlight w:val="none"/>
        </w:rPr>
      </w:pPr>
      <w:r>
        <w:rPr>
          <w:color w:val="auto"/>
          <w:highlight w:val="none"/>
        </w:rPr>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p>
    <w:p>
      <w:pPr>
        <w:ind w:firstLine="42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(一)价格基准分：（10分）</w:t>
      </w:r>
      <w:r/>
    </w:p>
    <w:p>
      <w:pPr>
        <w:ind w:firstLine="420"/>
        <w:jc w:val="left"/>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第一步：</w:t>
      </w:r>
      <w:r>
        <w:rPr>
          <w:rFonts w:hint="eastAsia" w:ascii="宋体" w:hAnsi="宋体" w:cs="宋体"/>
          <w:color w:val="auto"/>
          <w:szCs w:val="21"/>
          <w:highlight w:val="none"/>
          <w:lang w:val="en-US" w:eastAsia="zh-CN"/>
        </w:rPr>
        <w:t xml:space="preserve">优惠率</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100%</w:t>
      </w:r>
      <w:r>
        <w:rPr>
          <w:rFonts w:hint="eastAsia" w:ascii="宋体" w:hAnsi="宋体" w:cs="宋体"/>
          <w:color w:val="auto"/>
          <w:szCs w:val="21"/>
          <w:highlight w:val="none"/>
        </w:rPr>
        <w:t xml:space="preserve">，为有效投标报价；</w:t>
      </w:r>
      <w:r>
        <w:rPr>
          <w:rFonts w:hint="eastAsia" w:ascii="宋体" w:hAnsi="宋体" w:cs="宋体"/>
          <w:color w:val="auto"/>
          <w:szCs w:val="21"/>
          <w:highlight w:val="none"/>
          <w:lang w:val="en-US" w:eastAsia="zh-CN"/>
        </w:rPr>
        <w:t xml:space="preserve">否则</w:t>
      </w:r>
      <w:r>
        <w:rPr>
          <w:rFonts w:hint="eastAsia" w:ascii="宋体" w:hAnsi="宋体" w:cs="宋体"/>
          <w:color w:val="auto"/>
          <w:szCs w:val="21"/>
          <w:highlight w:val="none"/>
        </w:rPr>
        <w:t xml:space="preserve">为无效投标报价。无效投标报价的投标文件不进行评审，也不得标。</w:t>
      </w:r>
      <w:r/>
    </w:p>
    <w:p>
      <w:pPr>
        <w:ind w:firstLine="420"/>
        <w:jc w:val="left"/>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第二步：在所有有效投标报价中满足招标文件要求，且</w:t>
      </w:r>
      <w:r>
        <w:rPr>
          <w:rFonts w:hint="eastAsia" w:ascii="宋体" w:hAnsi="宋体" w:cs="宋体"/>
          <w:color w:val="auto"/>
          <w:szCs w:val="21"/>
          <w:highlight w:val="none"/>
          <w:lang w:val="en-US" w:eastAsia="zh-CN"/>
        </w:rPr>
        <w:t xml:space="preserve">优惠率最高</w:t>
      </w:r>
      <w:r>
        <w:rPr>
          <w:rFonts w:hint="eastAsia" w:ascii="宋体" w:hAnsi="宋体" w:cs="宋体"/>
          <w:color w:val="auto"/>
          <w:szCs w:val="21"/>
          <w:highlight w:val="none"/>
        </w:rPr>
        <w:t xml:space="preserve">的投标报价为评标基准价，其价格分为10分，其他投标单位的价格分按照下列公式计算（计算结果四舍五入保留两位小数）</w:t>
      </w:r>
      <w:r/>
    </w:p>
    <w:p>
      <w:pPr>
        <w:ind w:firstLine="420"/>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投标报价得分＝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评标基准价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投标报价）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×10×100％</w:t>
      </w:r>
      <w:r/>
    </w:p>
    <w:p>
      <w:pPr>
        <w:pStyle w:val="724"/>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（二）服务方案：（46分）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1、对本项目的土地市场情况、地价评估政策和历史沿革的理解和把握程度，相关论述和分析应紧密结合本项目实际：20分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结合自身在土地评估市场的工作经验，针对本项目地区土地市场发展变化趋势、区域分布特征等，以及地价评估政策的核心要义、历史沿革等开展分析说明，并提供与本项目服务相关的土地市场基础数据和具体评估案例作为支撑；</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认知全面、把握到位、理解深入、数据资料完整、评估案例充分的得20分；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认知基本全面、把握基本到位、理解没有偏差、数据资料基本完整、评估案例有限的得15分；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认知内容含糊不清、把握不够到位、理解存在偏差、数据资料和评估案例不够完整的得10分；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认知存在错误、把握不到要点、理解偏差较大、数据资料非常有限、评估案例欠缺的得5分；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未提供相关内容的不得分。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2、评估技术与服务方案：15分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针对本项目工作要求，拟定具有针对性的评估技术与服务方案，应包括但不限于重点难点分析、技术要点、流程及时间节点等内容。</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方案完整详细，难点分析深入到位，要点把握准确清晰，时间安排高效快捷，可实施性强的得15分；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方案基本完整，难点分析较为深入，要点把握基本准确，时间安排合理有序，可实施性较强的得12分；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方案不够完整具体，难点分析不够到位，要点把握不够准确，时间安排不够合理，可实施性一般的得9分；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方案内容简单缺漏，难点分析不准确，把握不到工作要点，时间安排不合理，可实施性较差的得6分；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未提供相关内容的不得分。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3、针对本项目的管控保障措施：6分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针对本项目的管控保障措施完善情况，包括内部管理制度、财务制度、业务流程制度、考核制度、保密制度等，附相关制度文件，对完善性和可操作性。</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管理规范，制度健全，可实施性较强的得6分；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管理基本规范，制度基本健全，可实施性一般的得4分；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管理不够规范，制度不够健全，可实施性较差的得2分；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未提供相关管理制度材料的不得分。</w:t>
      </w:r>
      <w:r/>
    </w:p>
    <w:p>
      <w:pPr>
        <w:pStyle w:val="724"/>
        <w:numPr>
          <w:ilvl w:val="255"/>
          <w:numId w:val="0"/>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4、针对本项目的突发事故应急预案与处理（5分）</w:t>
      </w:r>
      <w:r/>
    </w:p>
    <w:p>
      <w:pPr>
        <w:pStyle w:val="724"/>
        <w:numPr>
          <w:ilvl w:val="255"/>
          <w:numId w:val="0"/>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针对本项目的突发事故应急预案与处理能力等情况，包含但不限于突发事故分类、对应的应急预案与处理等情况。</w:t>
      </w:r>
      <w:r/>
    </w:p>
    <w:p>
      <w:pPr>
        <w:pStyle w:val="724"/>
        <w:numPr>
          <w:ilvl w:val="255"/>
          <w:numId w:val="0"/>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内容详实具体，经验丰富，方案考虑周全，措施合理有效、可行性高的5分；</w:t>
      </w:r>
      <w:r/>
    </w:p>
    <w:p>
      <w:pPr>
        <w:pStyle w:val="724"/>
        <w:numPr>
          <w:ilvl w:val="255"/>
          <w:numId w:val="0"/>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内容较为详细，总体基本可行，方案考虑较为细致，可行性较好的得3分；</w:t>
      </w:r>
      <w:r/>
    </w:p>
    <w:p>
      <w:pPr>
        <w:pStyle w:val="724"/>
        <w:numPr>
          <w:ilvl w:val="255"/>
          <w:numId w:val="0"/>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内容不够详细、内容有缺失或可行性欠缺的得1分；</w:t>
      </w:r>
      <w:r/>
    </w:p>
    <w:p>
      <w:pPr>
        <w:pStyle w:val="724"/>
        <w:ind w:firstLine="420"/>
        <w:jc w:val="left"/>
        <w:spacing w:line="360" w:lineRule="auto"/>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rPr>
        <w:t xml:space="preserve">未提供相关内容的不得分</w:t>
      </w:r>
      <w:r>
        <w:rPr>
          <w:rFonts w:hint="eastAsia" w:ascii="宋体" w:hAnsi="宋体" w:cs="宋体"/>
          <w:color w:val="auto"/>
          <w:szCs w:val="21"/>
          <w:highlight w:val="none"/>
          <w:lang w:eastAsia="zh-CN"/>
        </w:rPr>
        <w:t xml:space="preserve">。</w:t>
      </w:r>
      <w:bookmarkStart w:id="3" w:name="_GoBack"/>
      <w:r/>
      <w:bookmarkEnd w:id="3"/>
      <w:r/>
      <w:r/>
    </w:p>
    <w:p>
      <w:pPr>
        <w:pStyle w:val="724"/>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（三）服务团队人员能力比较（28分）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1、项目负责人情况（4分）  </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为注册房地产估价师及土地估价师，取得注册房地产估价师或土地估价师执业资格证书满20年及以上得3分；为注册房地产估价师及土地估价师，取得注册房地产估价师和土地估价师执业资格证书均不满20年得2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（2）除具备房地产估价师和土地估价师资格外，还同时具备资产评估师或高级职称的，任意具备一个资格证书得1分。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2、除项目负责人外，经备案的土地估价师人数（14分）：以省级自然资源主管部门对评估机构进行备案的通知中所列评估师为准。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满足6人及以下得6分；7人（含）至9人（含）得8分；10人（含）至12人（含）得10分；13人（含）至15人（含）得12分；16人及以上得14分。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3、除项目负责人外，在经备案的土地估价师中，同时为注册房地产估价师的人数（10分）：以取得房地产估价师注册证书为准。</w:t>
      </w:r>
      <w:r/>
    </w:p>
    <w:p>
      <w:pPr>
        <w:pStyle w:val="742"/>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满足6人及以下得2分；7人（含）至9人（含）得4分；10人（含）至12人（含）得6分；13人（含）至15人（含）得8分；16人及以上得10分。</w:t>
      </w:r>
      <w:r/>
    </w:p>
    <w:p>
      <w:pPr>
        <w:pStyle w:val="724"/>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注：以上人员以劳动关系在该投标人且由该投标人为其交纳社保基金为准，投标文件中须提供劳动合同和社保基金等的交纳证明，否则视为其不具备该条得分条件。</w:t>
      </w:r>
      <w:r/>
    </w:p>
    <w:p>
      <w:pPr>
        <w:pStyle w:val="724"/>
        <w:ind w:firstLine="42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（四）投标人业务经验比较（16分）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1、投标人从事土地一级市场评估（限于公开出让底价评估、协议出让及划拨补办出让地价评估、调整土地利用条件补地价评估3种类型）数量（7分）：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2022年至今，投标人从事县级及以上自然资源主管部门委托开展的公开出让底价评估、协议出让及划拨补办出让地价评估、调整土地利用条件补地价评估等土地一级市场地价评估工作经验。</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县级及以上自然资源主管部门（不含内设机构及下属事业单位）盖章确认的项目清单原件为准，清单需提供须经中国土地估价师与土地登记代理人协会的《土地估价报告备案系统》取得电子备案号。投标人所提供清单的项目承担单位须与投标人名称一致。</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2022年至今累计项目数量在100个及以下得4分；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2022年至今累计项目数量在101（含）-300个（含）得5分；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2022年至今累计项目数量在301（含）-500（含）个得6分；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2022年至今累计项目数量在501个以上得7分。</w:t>
      </w:r>
      <w:r/>
    </w:p>
    <w:p>
      <w:pPr>
        <w:pStyle w:val="724"/>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2、与本项目有关的项目经验（6分）：2022年至今，投标人具有从事与本项目相关的税务评估工作经验。每提供1个业绩合同得1分，最高6分。</w:t>
      </w:r>
      <w:r>
        <w:rPr>
          <w:rFonts w:hint="eastAsia" w:ascii="宋体" w:hAnsi="宋体" w:cs="宋体"/>
          <w:color w:val="auto"/>
          <w:szCs w:val="21"/>
          <w:highlight w:val="none"/>
          <w:lang w:val="en-US" w:eastAsia="zh-CN"/>
        </w:rPr>
        <w:t xml:space="preserve">须</w:t>
      </w:r>
      <w:r>
        <w:rPr>
          <w:rFonts w:hint="eastAsia" w:ascii="宋体" w:hAnsi="宋体" w:cs="宋体"/>
          <w:color w:val="auto"/>
          <w:szCs w:val="21"/>
          <w:highlight w:val="none"/>
        </w:rPr>
        <w:t xml:space="preserve">提供合同、发票及到账凭证复印件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否则不得分。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3、投标单位具有</w:t>
      </w:r>
      <w:r>
        <w:rPr>
          <w:rFonts w:hint="eastAsia" w:ascii="宋体" w:hAnsi="宋体" w:cs="宋体"/>
          <w:color w:val="auto"/>
          <w:szCs w:val="21"/>
          <w:highlight w:val="none"/>
          <w:lang w:val="en-US" w:eastAsia="zh-CN"/>
        </w:rPr>
        <w:t xml:space="preserve">有效期内的</w:t>
      </w:r>
      <w:r>
        <w:rPr>
          <w:rFonts w:hint="eastAsia" w:ascii="宋体" w:hAnsi="宋体" w:cs="宋体"/>
          <w:color w:val="auto"/>
          <w:szCs w:val="21"/>
          <w:highlight w:val="none"/>
        </w:rPr>
        <w:t xml:space="preserve">质量管理体系系列认证、信息安全管理体系认证、职业健康安全管理体系认证的，每项得1分，最高得3分。投标文件中提供在中国国家认证认可监督管理委员会官网公示的截图及证书复印件并加盖公章，否则不得分。</w:t>
      </w:r>
      <w:r/>
    </w:p>
    <w:p>
      <w:pPr>
        <w:pStyle w:val="724"/>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pStyle w:val="917"/>
        <w:ind w:firstLine="420"/>
        <w:spacing w:line="360" w:lineRule="auto"/>
        <w:tabs>
          <w:tab w:val="left" w:pos="1125" w:leader="none"/>
        </w:tabs>
        <w:rPr>
          <w:rFonts w:ascii="宋体" w:hAnsi="宋体" w:cs="宋体"/>
          <w:color w:val="auto"/>
          <w:szCs w:val="21"/>
          <w:highlight w:val="none"/>
          <w:lang w:val="en-US"/>
        </w:rPr>
      </w:pPr>
      <w:r>
        <w:rPr>
          <w:rFonts w:hint="eastAsia" w:ascii="宋体" w:hAnsi="宋体" w:cs="宋体"/>
          <w:color w:val="auto"/>
          <w:szCs w:val="21"/>
          <w:highlight w:val="none"/>
          <w:lang w:val="en-US"/>
        </w:rPr>
        <w:t xml:space="preserve">1、投标单位针对评分内容提供对应材料并作出相关说明，所提供的相关材料缺失、不符或不提供者，有关评分内容不得分。评标未尽事宜由评标委员会根据有关规定讨论决定。</w:t>
      </w:r>
      <w:r>
        <w:rPr>
          <w:rFonts w:hint="eastAsia" w:ascii="宋体" w:hAnsi="宋体" w:cs="宋体"/>
          <w:color w:val="auto"/>
          <w:szCs w:val="21"/>
          <w:highlight w:val="none"/>
        </w:rPr>
        <w:t xml:space="preserve">采购文件中要求的复印件可以用扫描件代替；复印件或扫描件须清晰可辨，如因复印件或扫描件模糊，造成无法辨认，该项不得分。</w:t>
      </w:r>
      <w:r/>
    </w:p>
    <w:p>
      <w:pPr>
        <w:pStyle w:val="724"/>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2、报价超过采购预算的不得中标。</w:t>
      </w:r>
      <w:r/>
    </w:p>
    <w:p>
      <w:pPr>
        <w:pStyle w:val="724"/>
        <w:ind w:firstLine="420"/>
        <w:jc w:val="left"/>
        <w:spacing w:line="360" w:lineRule="auto"/>
        <w:rPr>
          <w:rFonts w:ascii="宋体" w:hAnsi="宋体" w:cs="宋体"/>
          <w:color w:val="auto"/>
          <w:sz w:val="24"/>
          <w:highlight w:val="none"/>
        </w:rPr>
      </w:pPr>
      <w:r>
        <w:rPr>
          <w:rFonts w:hint="eastAsia" w:ascii="宋体" w:hAnsi="宋体" w:cs="宋体"/>
          <w:color w:val="auto"/>
          <w:szCs w:val="21"/>
          <w:highlight w:val="none"/>
        </w:rPr>
        <w:t xml:space="preserve">3、付款步骤、服务期限如有负偏离的不得中标</w:t>
      </w:r>
      <w:r/>
    </w:p>
    <w:sectPr>
      <w:headerReference w:type="default" r:id="rId10"/>
      <w:footerReference w:type="default" r:id="rId12"/>
      <w:footnotePr/>
      <w:endnotePr/>
      <w:type w:val="nextPage"/>
      <w:pgSz w:w="11906" w:h="16838" w:orient="portrait"/>
      <w:pgMar w:top="1440" w:right="1083" w:bottom="1440" w:left="108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简体">
    <w:panose1 w:val="020B0503020202020204"/>
  </w:font>
  <w:font w:name="Symbol">
    <w:panose1 w:val="05050102010706020507"/>
  </w:font>
  <w:font w:name="楷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2"/>
                          </w:pPr>
                          <w:r>
                            <w:t xml:space="preserve">— </w:t>
                          </w:r>
                          <w:r>
                            <w:fldChar w:fldCharType="begin"/>
                          </w:r>
                          <w:r>
                            <w:instrText xml:space="preserve"> PAGE  \* MERGEFORMAT </w:instrText>
                          </w:r>
                          <w:r>
                            <w:fldChar w:fldCharType="separate"/>
                          </w:r>
                          <w:r>
                            <w:t xml:space="preserve">36</w:t>
                          </w:r>
                          <w:r>
                            <w:fldChar w:fldCharType="end"/>
                          </w:r>
                          <w: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2"/>
                    </w:pPr>
                    <w:r>
                      <w:t xml:space="preserve">— </w:t>
                    </w:r>
                    <w:r>
                      <w:fldChar w:fldCharType="begin"/>
                    </w:r>
                    <w:r>
                      <w:instrText xml:space="preserve"> PAGE  \* MERGEFORMAT </w:instrText>
                    </w:r>
                    <w:r>
                      <w:fldChar w:fldCharType="separate"/>
                    </w:r>
                    <w:r>
                      <w:t xml:space="preserve">36</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58"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2"/>
                          </w:pPr>
                          <w:r>
                            <w:t xml:space="preserve">— </w:t>
                          </w:r>
                          <w:r>
                            <w:fldChar w:fldCharType="begin"/>
                          </w:r>
                          <w:r>
                            <w:instrText xml:space="preserve"> PAGE  \* MERGEFORMAT </w:instrText>
                          </w:r>
                          <w:r>
                            <w:fldChar w:fldCharType="separate"/>
                          </w:r>
                          <w:r>
                            <w:t xml:space="preserve">42</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2"/>
                    </w:pPr>
                    <w:r>
                      <w:t xml:space="preserve">— </w:t>
                    </w:r>
                    <w:r>
                      <w:fldChar w:fldCharType="begin"/>
                    </w:r>
                    <w:r>
                      <w:instrText xml:space="preserve"> PAGE  \* MERGEFORMAT </w:instrText>
                    </w:r>
                    <w:r>
                      <w:fldChar w:fldCharType="separate"/>
                    </w:r>
                    <w:r>
                      <w:t xml:space="preserve">42</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u w:val="single"/>
      </w:rPr>
    </w:pPr>
    <w:r>
      <w:rPr>
        <w:rFonts w:hint="eastAsia" w:ascii="宋体" w:hAnsi="宋体" w:cs="宋体"/>
        <w:sz w:val="18"/>
        <w:szCs w:val="18"/>
        <w:u w:val="single"/>
      </w:rPr>
      <w:t xml:space="preserve">政府采购文件                                                        项目编号：</w:t>
    </w:r>
    <w:r>
      <w:rPr>
        <w:rFonts w:hint="eastAsia" w:ascii="宋体" w:hAnsi="宋体" w:cs="宋体"/>
        <w:sz w:val="18"/>
        <w:szCs w:val="18"/>
        <w:u w:val="single"/>
        <w:lang w:eastAsia="zh-CN"/>
      </w:rPr>
      <w:t xml:space="preserve">JSZC-320500-SZJX-G2025-0121</w:t>
    </w:r>
    <w:r>
      <w:rPr>
        <w:rFonts w:hint="eastAsia" w:ascii="宋体" w:hAnsi="宋体" w:cs="宋体"/>
        <w:sz w:val="18"/>
        <w:szCs w:val="18"/>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u w:val="single"/>
      </w:rPr>
    </w:pPr>
    <w:r>
      <w:rPr>
        <w:rFonts w:hint="eastAsia"/>
        <w:u w:val="single"/>
      </w:rPr>
      <w:t xml:space="preserve">政府采购文件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898"/>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00"/>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ind w:left="-6"/>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pStyle w:val="899"/>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1"/>
  </w:num>
  <w:num w:numId="4">
    <w:abstractNumId w:val="4"/>
  </w:num>
  <w:num w:numId="5">
    <w:abstractNumId w:val="6"/>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4">
    <w:name w:val="Title Char"/>
    <w:basedOn w:val="718"/>
    <w:link w:val="743"/>
    <w:uiPriority w:val="10"/>
    <w:rPr>
      <w:sz w:val="48"/>
      <w:szCs w:val="48"/>
    </w:rPr>
  </w:style>
  <w:style w:type="character" w:styleId="36">
    <w:name w:val="Subtitle Char"/>
    <w:basedOn w:val="718"/>
    <w:link w:val="736"/>
    <w:uiPriority w:val="11"/>
    <w:rPr>
      <w:sz w:val="24"/>
      <w:szCs w:val="24"/>
    </w:rPr>
  </w:style>
  <w:style w:type="character" w:styleId="38">
    <w:name w:val="Quote Char"/>
    <w:link w:val="763"/>
    <w:uiPriority w:val="29"/>
    <w:rPr>
      <w:i/>
    </w:rPr>
  </w:style>
  <w:style w:type="character" w:styleId="40">
    <w:name w:val="Intense Quote Char"/>
    <w:link w:val="765"/>
    <w:uiPriority w:val="30"/>
    <w:rPr>
      <w:i/>
    </w:rPr>
  </w:style>
  <w:style w:type="character" w:styleId="42">
    <w:name w:val="Header Char"/>
    <w:basedOn w:val="718"/>
    <w:link w:val="733"/>
    <w:uiPriority w:val="99"/>
  </w:style>
  <w:style w:type="character" w:styleId="46">
    <w:name w:val="Caption Char"/>
    <w:basedOn w:val="722"/>
    <w:link w:val="732"/>
    <w:uiPriority w:val="99"/>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7"/>
    <w:uiPriority w:val="99"/>
    <w:rPr>
      <w:sz w:val="18"/>
    </w:rPr>
  </w:style>
  <w:style w:type="character" w:styleId="178">
    <w:name w:val="Endnote Text Char"/>
    <w:link w:val="730"/>
    <w:uiPriority w:val="99"/>
    <w:rPr>
      <w:sz w:val="20"/>
    </w:rPr>
  </w:style>
  <w:style w:type="paragraph" w:styleId="189">
    <w:name w:val="TOC Heading"/>
    <w:uiPriority w:val="39"/>
    <w:unhideWhenUsed/>
  </w:style>
  <w:style w:type="paragraph" w:styleId="70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09">
    <w:name w:val="Heading 1"/>
    <w:basedOn w:val="708"/>
    <w:next w:val="708"/>
    <w:link w:val="750"/>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1"/>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2"/>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3"/>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4"/>
    <w:uiPriority w:val="9"/>
    <w:unhideWhenUsed/>
    <w:qFormat/>
    <w:pPr>
      <w:keepLines/>
      <w:keepNext/>
      <w:spacing w:before="320" w:after="200"/>
      <w:outlineLvl w:val="4"/>
    </w:pPr>
    <w:rPr>
      <w:rFonts w:ascii="Arial" w:hAnsi="Arial" w:eastAsia="Arial" w:cs="Arial"/>
      <w:b/>
      <w:bCs/>
      <w:sz w:val="24"/>
    </w:rPr>
  </w:style>
  <w:style w:type="paragraph" w:styleId="714">
    <w:name w:val="Heading 6"/>
    <w:basedOn w:val="708"/>
    <w:next w:val="708"/>
    <w:link w:val="755"/>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7"/>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8"/>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Normal Indent"/>
    <w:basedOn w:val="708"/>
    <w:next w:val="708"/>
    <w:uiPriority w:val="99"/>
    <w:semiHidden/>
    <w:unhideWhenUsed/>
    <w:qFormat/>
    <w:pPr>
      <w:ind w:left="420" w:firstLine="4772"/>
    </w:pPr>
    <w:rPr>
      <w:rFonts w:ascii="Times New Roman" w:hAnsi="Times New Roman"/>
      <w:szCs w:val="21"/>
    </w:rPr>
  </w:style>
  <w:style w:type="paragraph" w:styleId="722">
    <w:name w:val="Caption"/>
    <w:basedOn w:val="708"/>
    <w:next w:val="708"/>
    <w:uiPriority w:val="35"/>
    <w:semiHidden/>
    <w:unhideWhenUsed/>
    <w:qFormat/>
    <w:pPr>
      <w:spacing w:line="276" w:lineRule="auto"/>
    </w:pPr>
    <w:rPr>
      <w:b/>
      <w:bCs/>
      <w:color w:val="4f81bd" w:themeColor="accent1"/>
      <w:sz w:val="18"/>
      <w:szCs w:val="18"/>
    </w:rPr>
  </w:style>
  <w:style w:type="paragraph" w:styleId="723">
    <w:name w:val="annotation text"/>
    <w:basedOn w:val="708"/>
    <w:uiPriority w:val="99"/>
    <w:semiHidden/>
    <w:unhideWhenUsed/>
    <w:qFormat/>
    <w:pPr>
      <w:jc w:val="left"/>
    </w:pPr>
  </w:style>
  <w:style w:type="paragraph" w:styleId="724">
    <w:name w:val="Body Text"/>
    <w:basedOn w:val="708"/>
    <w:uiPriority w:val="0"/>
    <w:qFormat/>
    <w:pPr>
      <w:ind w:firstLine="2560"/>
    </w:pPr>
  </w:style>
  <w:style w:type="paragraph" w:styleId="725">
    <w:name w:val="Body Text Indent"/>
    <w:basedOn w:val="708"/>
    <w:uiPriority w:val="99"/>
    <w:semiHidden/>
    <w:unhideWhenUsed/>
    <w:qFormat/>
    <w:pPr>
      <w:ind w:firstLine="560"/>
      <w:jc w:val="left"/>
      <w:spacing w:line="300" w:lineRule="auto"/>
    </w:pPr>
    <w:rPr>
      <w:rFonts w:ascii="Times New Roman" w:hAnsi="Times New Roman"/>
      <w:sz w:val="28"/>
      <w:szCs w:val="28"/>
    </w:rPr>
  </w:style>
  <w:style w:type="paragraph" w:styleId="726">
    <w:name w:val="toc 5"/>
    <w:basedOn w:val="708"/>
    <w:next w:val="708"/>
    <w:uiPriority w:val="39"/>
    <w:unhideWhenUsed/>
    <w:qFormat/>
    <w:pPr>
      <w:ind w:left="1134"/>
      <w:spacing w:after="57"/>
    </w:pPr>
  </w:style>
  <w:style w:type="paragraph" w:styleId="727">
    <w:name w:val="toc 3"/>
    <w:basedOn w:val="708"/>
    <w:next w:val="708"/>
    <w:uiPriority w:val="39"/>
    <w:unhideWhenUsed/>
    <w:qFormat/>
    <w:pPr>
      <w:ind w:left="567"/>
      <w:spacing w:after="57"/>
    </w:pPr>
  </w:style>
  <w:style w:type="paragraph" w:styleId="728">
    <w:name w:val="Plain Text"/>
    <w:basedOn w:val="708"/>
    <w:uiPriority w:val="99"/>
    <w:semiHidden/>
    <w:unhideWhenUsed/>
    <w:qFormat/>
    <w:rPr>
      <w:rFonts w:hint="eastAsia" w:ascii="宋体" w:hAnsi="Courier New" w:eastAsia="楷体_GB2312"/>
      <w:sz w:val="28"/>
      <w:szCs w:val="28"/>
    </w:rPr>
  </w:style>
  <w:style w:type="paragraph" w:styleId="729">
    <w:name w:val="toc 8"/>
    <w:basedOn w:val="708"/>
    <w:next w:val="708"/>
    <w:uiPriority w:val="39"/>
    <w:unhideWhenUsed/>
    <w:qFormat/>
    <w:pPr>
      <w:ind w:left="1984"/>
      <w:spacing w:after="57"/>
    </w:pPr>
  </w:style>
  <w:style w:type="paragraph" w:styleId="730">
    <w:name w:val="endnote text"/>
    <w:basedOn w:val="708"/>
    <w:link w:val="896"/>
    <w:uiPriority w:val="99"/>
    <w:semiHidden/>
    <w:unhideWhenUsed/>
    <w:qFormat/>
    <w:rPr>
      <w:sz w:val="20"/>
    </w:rPr>
  </w:style>
  <w:style w:type="paragraph" w:styleId="731">
    <w:name w:val="Balloon Text"/>
    <w:basedOn w:val="708"/>
    <w:uiPriority w:val="0"/>
    <w:qFormat/>
    <w:rPr>
      <w:sz w:val="18"/>
      <w:szCs w:val="18"/>
    </w:rPr>
  </w:style>
  <w:style w:type="paragraph" w:styleId="732">
    <w:name w:val="Footer"/>
    <w:basedOn w:val="708"/>
    <w:link w:val="769"/>
    <w:uiPriority w:val="99"/>
    <w:unhideWhenUsed/>
    <w:qFormat/>
    <w:pPr>
      <w:tabs>
        <w:tab w:val="center" w:pos="7143" w:leader="none"/>
        <w:tab w:val="right" w:pos="14287" w:leader="none"/>
      </w:tabs>
    </w:pPr>
  </w:style>
  <w:style w:type="paragraph" w:styleId="733">
    <w:name w:val="Header"/>
    <w:basedOn w:val="708"/>
    <w:link w:val="767"/>
    <w:uiPriority w:val="99"/>
    <w:unhideWhenUsed/>
    <w:qFormat/>
    <w:pPr>
      <w:tabs>
        <w:tab w:val="center" w:pos="7143" w:leader="none"/>
        <w:tab w:val="right" w:pos="14287" w:leader="none"/>
      </w:tabs>
    </w:pPr>
  </w:style>
  <w:style w:type="paragraph" w:styleId="734">
    <w:name w:val="toc 1"/>
    <w:basedOn w:val="708"/>
    <w:next w:val="708"/>
    <w:uiPriority w:val="39"/>
    <w:unhideWhenUsed/>
    <w:qFormat/>
    <w:pPr>
      <w:spacing w:after="57"/>
    </w:pPr>
  </w:style>
  <w:style w:type="paragraph" w:styleId="735">
    <w:name w:val="toc 4"/>
    <w:basedOn w:val="708"/>
    <w:next w:val="708"/>
    <w:uiPriority w:val="39"/>
    <w:unhideWhenUsed/>
    <w:qFormat/>
    <w:pPr>
      <w:ind w:left="850"/>
      <w:spacing w:after="57"/>
    </w:pPr>
  </w:style>
  <w:style w:type="paragraph" w:styleId="736">
    <w:name w:val="Subtitle"/>
    <w:basedOn w:val="708"/>
    <w:next w:val="708"/>
    <w:link w:val="762"/>
    <w:uiPriority w:val="11"/>
    <w:qFormat/>
    <w:pPr>
      <w:spacing w:before="200" w:after="200"/>
    </w:pPr>
    <w:rPr>
      <w:sz w:val="24"/>
    </w:rPr>
  </w:style>
  <w:style w:type="paragraph" w:styleId="737">
    <w:name w:val="footnote text"/>
    <w:basedOn w:val="708"/>
    <w:link w:val="895"/>
    <w:uiPriority w:val="99"/>
    <w:semiHidden/>
    <w:unhideWhenUsed/>
    <w:qFormat/>
    <w:pPr>
      <w:spacing w:after="40"/>
    </w:pPr>
    <w:rPr>
      <w:sz w:val="18"/>
    </w:rPr>
  </w:style>
  <w:style w:type="paragraph" w:styleId="738">
    <w:name w:val="toc 6"/>
    <w:basedOn w:val="708"/>
    <w:next w:val="708"/>
    <w:uiPriority w:val="39"/>
    <w:unhideWhenUsed/>
    <w:qFormat/>
    <w:pPr>
      <w:ind w:left="1417"/>
      <w:spacing w:after="57"/>
    </w:pPr>
  </w:style>
  <w:style w:type="paragraph" w:styleId="739">
    <w:name w:val="table of figures"/>
    <w:basedOn w:val="708"/>
    <w:next w:val="708"/>
    <w:uiPriority w:val="99"/>
    <w:unhideWhenUsed/>
    <w:qFormat/>
  </w:style>
  <w:style w:type="paragraph" w:styleId="740">
    <w:name w:val="toc 2"/>
    <w:basedOn w:val="708"/>
    <w:next w:val="708"/>
    <w:uiPriority w:val="39"/>
    <w:unhideWhenUsed/>
    <w:qFormat/>
    <w:pPr>
      <w:ind w:left="283"/>
      <w:spacing w:after="57"/>
    </w:pPr>
  </w:style>
  <w:style w:type="paragraph" w:styleId="741">
    <w:name w:val="toc 9"/>
    <w:basedOn w:val="708"/>
    <w:next w:val="708"/>
    <w:uiPriority w:val="39"/>
    <w:unhideWhenUsed/>
    <w:qFormat/>
    <w:pPr>
      <w:ind w:left="2268"/>
      <w:spacing w:after="57"/>
    </w:pPr>
  </w:style>
  <w:style w:type="paragraph" w:styleId="742">
    <w:name w:val="Normal (Web)"/>
    <w:basedOn w:val="708"/>
    <w:uiPriority w:val="99"/>
    <w:semiHidden/>
    <w:unhideWhenUsed/>
    <w:qFormat/>
    <w:rPr>
      <w:sz w:val="24"/>
    </w:rPr>
  </w:style>
  <w:style w:type="paragraph" w:styleId="743">
    <w:name w:val="Title"/>
    <w:basedOn w:val="708"/>
    <w:next w:val="708"/>
    <w:link w:val="761"/>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rPr>
  </w:style>
  <w:style w:type="character" w:styleId="747">
    <w:name w:val="annotation reference"/>
    <w:basedOn w:val="718"/>
    <w:uiPriority w:val="99"/>
    <w:semiHidden/>
    <w:unhideWhenUsed/>
    <w:qFormat/>
    <w:rPr>
      <w:sz w:val="21"/>
      <w:szCs w:val="21"/>
    </w:rPr>
  </w:style>
  <w:style w:type="character" w:styleId="748">
    <w:name w:val="footnote reference"/>
    <w:uiPriority w:val="99"/>
    <w:unhideWhenUsed/>
    <w:qFormat/>
    <w:rPr>
      <w:vertAlign w:val="superscript"/>
    </w:rPr>
  </w:style>
  <w:style w:type="paragraph" w:styleId="749" w:customStyle="1">
    <w:name w:val="段"/>
    <w:next w:val="708"/>
    <w:uiPriority w:val="0"/>
    <w:qFormat/>
    <w:pPr>
      <w:ind w:firstLine="200"/>
      <w:jc w:val="both"/>
    </w:pPr>
    <w:rPr>
      <w:rFonts w:ascii="宋体" w:hAnsi="Calibri" w:eastAsia="宋体" w:cs="Times New Roman"/>
      <w:sz w:val="21"/>
      <w:lang w:val="en-US" w:eastAsia="zh-CN" w:bidi="ar-SA"/>
    </w:rPr>
  </w:style>
  <w:style w:type="character" w:styleId="750" w:customStyle="1">
    <w:name w:val="标题 1 Char1"/>
    <w:link w:val="709"/>
    <w:uiPriority w:val="9"/>
    <w:qFormat/>
    <w:rPr>
      <w:rFonts w:ascii="Arial" w:hAnsi="Arial" w:eastAsia="Arial" w:cs="Arial"/>
      <w:sz w:val="40"/>
      <w:szCs w:val="40"/>
    </w:rPr>
  </w:style>
  <w:style w:type="character" w:styleId="751" w:customStyle="1">
    <w:name w:val="标题 2 Char"/>
    <w:link w:val="710"/>
    <w:uiPriority w:val="9"/>
    <w:qFormat/>
    <w:rPr>
      <w:rFonts w:ascii="Arial" w:hAnsi="Arial" w:eastAsia="Arial" w:cs="Arial"/>
      <w:sz w:val="34"/>
    </w:rPr>
  </w:style>
  <w:style w:type="character" w:styleId="752" w:customStyle="1">
    <w:name w:val="标题 3 Char"/>
    <w:link w:val="711"/>
    <w:uiPriority w:val="9"/>
    <w:qFormat/>
    <w:rPr>
      <w:rFonts w:ascii="Arial" w:hAnsi="Arial" w:eastAsia="Arial" w:cs="Arial"/>
      <w:sz w:val="30"/>
      <w:szCs w:val="30"/>
    </w:rPr>
  </w:style>
  <w:style w:type="character" w:styleId="753" w:customStyle="1">
    <w:name w:val="标题 4 Char"/>
    <w:link w:val="712"/>
    <w:uiPriority w:val="9"/>
    <w:qFormat/>
    <w:rPr>
      <w:rFonts w:ascii="Arial" w:hAnsi="Arial" w:eastAsia="Arial" w:cs="Arial"/>
      <w:b/>
      <w:bCs/>
      <w:sz w:val="26"/>
      <w:szCs w:val="26"/>
    </w:rPr>
  </w:style>
  <w:style w:type="character" w:styleId="754" w:customStyle="1">
    <w:name w:val="标题 5 Char"/>
    <w:link w:val="713"/>
    <w:uiPriority w:val="9"/>
    <w:qFormat/>
    <w:rPr>
      <w:rFonts w:ascii="Arial" w:hAnsi="Arial" w:eastAsia="Arial" w:cs="Arial"/>
      <w:b/>
      <w:bCs/>
      <w:sz w:val="24"/>
      <w:szCs w:val="24"/>
    </w:rPr>
  </w:style>
  <w:style w:type="character" w:styleId="755" w:customStyle="1">
    <w:name w:val="标题 6 Char"/>
    <w:link w:val="714"/>
    <w:uiPriority w:val="9"/>
    <w:qFormat/>
    <w:rPr>
      <w:rFonts w:ascii="Arial" w:hAnsi="Arial" w:eastAsia="Arial" w:cs="Arial"/>
      <w:b/>
      <w:bCs/>
      <w:sz w:val="22"/>
      <w:szCs w:val="22"/>
    </w:rPr>
  </w:style>
  <w:style w:type="character" w:styleId="756" w:customStyle="1">
    <w:name w:val="标题 7 Char"/>
    <w:link w:val="715"/>
    <w:uiPriority w:val="9"/>
    <w:qFormat/>
    <w:rPr>
      <w:rFonts w:ascii="Arial" w:hAnsi="Arial" w:eastAsia="Arial" w:cs="Arial"/>
      <w:b/>
      <w:bCs/>
      <w:i/>
      <w:iCs/>
      <w:sz w:val="22"/>
      <w:szCs w:val="22"/>
    </w:rPr>
  </w:style>
  <w:style w:type="character" w:styleId="757" w:customStyle="1">
    <w:name w:val="标题 8 Char"/>
    <w:link w:val="716"/>
    <w:uiPriority w:val="9"/>
    <w:qFormat/>
    <w:rPr>
      <w:rFonts w:ascii="Arial" w:hAnsi="Arial" w:eastAsia="Arial" w:cs="Arial"/>
      <w:i/>
      <w:iCs/>
      <w:sz w:val="22"/>
      <w:szCs w:val="22"/>
    </w:rPr>
  </w:style>
  <w:style w:type="character" w:styleId="758" w:customStyle="1">
    <w:name w:val="标题 9 Char"/>
    <w:link w:val="717"/>
    <w:uiPriority w:val="9"/>
    <w:qFormat/>
    <w:rPr>
      <w:rFonts w:ascii="Arial" w:hAnsi="Arial" w:eastAsia="Arial" w:cs="Arial"/>
      <w:i/>
      <w:iCs/>
      <w:sz w:val="21"/>
      <w:szCs w:val="21"/>
    </w:rPr>
  </w:style>
  <w:style w:type="paragraph" w:styleId="759">
    <w:name w:val="List Paragraph"/>
    <w:basedOn w:val="708"/>
    <w:uiPriority w:val="34"/>
    <w:qFormat/>
    <w:pPr>
      <w:contextualSpacing/>
      <w:ind w:left="720"/>
    </w:pPr>
  </w:style>
  <w:style w:type="paragraph" w:styleId="760">
    <w:name w:val="No Spacing"/>
    <w:uiPriority w:val="1"/>
    <w:qFormat/>
    <w:rPr>
      <w:rFonts w:ascii="Times New Roman" w:hAnsi="Times New Roman" w:eastAsia="宋体" w:cs="Times New Roman"/>
      <w:lang w:val="en-US" w:eastAsia="zh-CN" w:bidi="ar-SA"/>
    </w:rPr>
  </w:style>
  <w:style w:type="character" w:styleId="761" w:customStyle="1">
    <w:name w:val="标题 Char"/>
    <w:link w:val="743"/>
    <w:uiPriority w:val="10"/>
    <w:qFormat/>
    <w:rPr>
      <w:sz w:val="48"/>
      <w:szCs w:val="48"/>
    </w:rPr>
  </w:style>
  <w:style w:type="character" w:styleId="762" w:customStyle="1">
    <w:name w:val="副标题 Char"/>
    <w:link w:val="736"/>
    <w:uiPriority w:val="11"/>
    <w:qFormat/>
    <w:rPr>
      <w:sz w:val="24"/>
      <w:szCs w:val="24"/>
    </w:rPr>
  </w:style>
  <w:style w:type="paragraph" w:styleId="763">
    <w:name w:val="Quote"/>
    <w:basedOn w:val="708"/>
    <w:next w:val="708"/>
    <w:link w:val="764"/>
    <w:uiPriority w:val="29"/>
    <w:qFormat/>
    <w:pPr>
      <w:ind w:left="720" w:right="720"/>
    </w:pPr>
    <w:rPr>
      <w:i/>
    </w:rPr>
  </w:style>
  <w:style w:type="character" w:styleId="764" w:customStyle="1">
    <w:name w:val="引用 Char"/>
    <w:link w:val="763"/>
    <w:uiPriority w:val="29"/>
    <w:qFormat/>
    <w:rPr>
      <w:i/>
    </w:rPr>
  </w:style>
  <w:style w:type="paragraph" w:styleId="765">
    <w:name w:val="Intense Quote"/>
    <w:basedOn w:val="708"/>
    <w:next w:val="708"/>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Char"/>
    <w:link w:val="765"/>
    <w:uiPriority w:val="30"/>
    <w:qFormat/>
    <w:rPr>
      <w:i/>
    </w:rPr>
  </w:style>
  <w:style w:type="character" w:styleId="767" w:customStyle="1">
    <w:name w:val="页眉 Char1"/>
    <w:link w:val="733"/>
    <w:uiPriority w:val="99"/>
    <w:qFormat/>
  </w:style>
  <w:style w:type="character" w:styleId="768" w:customStyle="1">
    <w:name w:val="Footer Char"/>
    <w:uiPriority w:val="99"/>
    <w:qFormat/>
  </w:style>
  <w:style w:type="character" w:styleId="769" w:customStyle="1">
    <w:name w:val="页脚 Char1"/>
    <w:link w:val="732"/>
    <w:uiPriority w:val="99"/>
    <w:qFormat/>
  </w:style>
  <w:style w:type="table" w:styleId="7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脚注文本 Char"/>
    <w:link w:val="737"/>
    <w:uiPriority w:val="99"/>
    <w:qFormat/>
    <w:rPr>
      <w:sz w:val="18"/>
    </w:rPr>
  </w:style>
  <w:style w:type="character" w:styleId="896" w:customStyle="1">
    <w:name w:val="尾注文本 Char"/>
    <w:link w:val="730"/>
    <w:uiPriority w:val="99"/>
    <w:qFormat/>
    <w:rPr>
      <w:sz w:val="20"/>
    </w:rPr>
  </w:style>
  <w:style w:type="paragraph" w:styleId="897" w:customStyle="1">
    <w:name w:val="TOC 标题1"/>
    <w:uiPriority w:val="39"/>
    <w:unhideWhenUsed/>
    <w:qFormat/>
    <w:rPr>
      <w:rFonts w:ascii="Times New Roman" w:hAnsi="Times New Roman" w:eastAsia="宋体" w:cs="Times New Roman"/>
      <w:lang w:val="en-US" w:eastAsia="zh-CN" w:bidi="ar-SA"/>
    </w:rPr>
  </w:style>
  <w:style w:type="paragraph" w:styleId="898" w:customStyle="1">
    <w:name w:val="标题 111"/>
    <w:basedOn w:val="708"/>
    <w:next w:val="708"/>
    <w:link w:val="903"/>
    <w:uiPriority w:val="0"/>
    <w:qFormat/>
    <w:pPr>
      <w:numPr>
        <w:ilvl w:val="0"/>
        <w:numId w:val="1"/>
      </w:numPr>
      <w:spacing w:line="360" w:lineRule="auto"/>
      <w:outlineLvl w:val="0"/>
    </w:pPr>
    <w:rPr>
      <w:rFonts w:ascii="Times New Roman" w:hAnsi="楷体" w:eastAsia="楷体"/>
      <w:b/>
      <w:sz w:val="28"/>
      <w:szCs w:val="28"/>
    </w:rPr>
  </w:style>
  <w:style w:type="paragraph" w:styleId="899" w:customStyle="1">
    <w:name w:val="标题 21"/>
    <w:basedOn w:val="708"/>
    <w:next w:val="708"/>
    <w:uiPriority w:val="0"/>
    <w:qFormat/>
    <w:pPr>
      <w:numPr>
        <w:ilvl w:val="0"/>
        <w:numId w:val="2"/>
      </w:numPr>
      <w:spacing w:line="360" w:lineRule="auto"/>
      <w:outlineLvl w:val="1"/>
    </w:pPr>
    <w:rPr>
      <w:rFonts w:ascii="Times New Roman" w:hAnsi="Times New Roman" w:eastAsia="楷体_GB2312"/>
      <w:b/>
      <w:bCs/>
      <w:sz w:val="28"/>
      <w:szCs w:val="28"/>
    </w:rPr>
  </w:style>
  <w:style w:type="paragraph" w:styleId="900" w:customStyle="1">
    <w:name w:val="标题 311"/>
    <w:basedOn w:val="708"/>
    <w:next w:val="708"/>
    <w:uiPriority w:val="0"/>
    <w:qFormat/>
    <w:pPr>
      <w:numPr>
        <w:ilvl w:val="0"/>
        <w:numId w:val="3"/>
      </w:numPr>
      <w:spacing w:line="560" w:lineRule="exact"/>
      <w:outlineLvl w:val="2"/>
    </w:pPr>
    <w:rPr>
      <w:rFonts w:ascii="Times New Roman" w:hAnsi="Times New Roman" w:eastAsia="楷体_GB2312"/>
      <w:b/>
      <w:bCs/>
      <w:sz w:val="28"/>
      <w:szCs w:val="28"/>
    </w:rPr>
  </w:style>
  <w:style w:type="character" w:styleId="901" w:customStyle="1">
    <w:name w:val="默认段落字体11"/>
    <w:uiPriority w:val="0"/>
    <w:semiHidden/>
    <w:qFormat/>
  </w:style>
  <w:style w:type="table" w:styleId="902" w:customStyle="1">
    <w:name w:val="普通表格1"/>
    <w:uiPriority w:val="0"/>
    <w:semiHidden/>
    <w:qFormat/>
    <w:tblPr>
      <w:tblCellMar>
        <w:left w:w="0" w:type="dxa"/>
        <w:top w:w="0" w:type="dxa"/>
        <w:right w:w="0" w:type="dxa"/>
        <w:bottom w:w="0" w:type="dxa"/>
      </w:tblCellMar>
    </w:tblPr>
  </w:style>
  <w:style w:type="character" w:styleId="903" w:customStyle="1">
    <w:name w:val="标题 1 Char"/>
    <w:link w:val="898"/>
    <w:uiPriority w:val="0"/>
    <w:qFormat/>
    <w:rPr>
      <w:rFonts w:hAnsi="楷体" w:eastAsia="楷体"/>
      <w:b/>
      <w:sz w:val="28"/>
      <w:szCs w:val="28"/>
    </w:rPr>
  </w:style>
  <w:style w:type="paragraph" w:styleId="904" w:customStyle="1">
    <w:name w:val="批注文字1"/>
    <w:basedOn w:val="708"/>
    <w:uiPriority w:val="0"/>
    <w:qFormat/>
    <w:pPr>
      <w:jc w:val="left"/>
    </w:pPr>
  </w:style>
  <w:style w:type="paragraph" w:styleId="905" w:customStyle="1">
    <w:name w:val="正文文本缩进11"/>
    <w:basedOn w:val="708"/>
    <w:next w:val="708"/>
    <w:uiPriority w:val="99"/>
    <w:qFormat/>
    <w:pPr>
      <w:ind w:firstLine="425"/>
      <w:spacing w:line="360" w:lineRule="auto"/>
    </w:pPr>
    <w:rPr>
      <w:sz w:val="20"/>
    </w:rPr>
  </w:style>
  <w:style w:type="paragraph" w:styleId="906" w:customStyle="1">
    <w:name w:val="页脚11"/>
    <w:basedOn w:val="708"/>
    <w:link w:val="907"/>
    <w:uiPriority w:val="0"/>
    <w:qFormat/>
    <w:pPr>
      <w:jc w:val="left"/>
      <w:tabs>
        <w:tab w:val="center" w:pos="4153" w:leader="none"/>
        <w:tab w:val="right" w:pos="8306" w:leader="none"/>
      </w:tabs>
    </w:pPr>
    <w:rPr>
      <w:sz w:val="18"/>
      <w:szCs w:val="18"/>
    </w:rPr>
  </w:style>
  <w:style w:type="character" w:styleId="907" w:customStyle="1">
    <w:name w:val="页脚 Char"/>
    <w:basedOn w:val="901"/>
    <w:link w:val="906"/>
    <w:uiPriority w:val="0"/>
    <w:qFormat/>
    <w:rPr>
      <w:rFonts w:ascii="Calibri" w:hAnsi="Calibri"/>
      <w:sz w:val="18"/>
      <w:szCs w:val="18"/>
    </w:rPr>
  </w:style>
  <w:style w:type="paragraph" w:styleId="908" w:customStyle="1">
    <w:name w:val="页眉11"/>
    <w:basedOn w:val="708"/>
    <w:link w:val="909"/>
    <w:uiPriority w:val="0"/>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Char"/>
    <w:basedOn w:val="901"/>
    <w:link w:val="908"/>
    <w:uiPriority w:val="0"/>
    <w:qFormat/>
    <w:rPr>
      <w:rFonts w:ascii="Calibri" w:hAnsi="Calibri"/>
      <w:sz w:val="18"/>
      <w:szCs w:val="18"/>
    </w:rPr>
  </w:style>
  <w:style w:type="paragraph" w:styleId="910" w:customStyle="1">
    <w:name w:val="正文首行缩进 211"/>
    <w:basedOn w:val="905"/>
    <w:uiPriority w:val="99"/>
    <w:unhideWhenUsed/>
    <w:qFormat/>
    <w:pPr>
      <w:ind w:firstLine="420"/>
    </w:pPr>
  </w:style>
  <w:style w:type="table" w:styleId="911" w:customStyle="1">
    <w:name w:val="网格型1"/>
    <w:basedOn w:val="902"/>
    <w:uiPriority w:val="0"/>
    <w:qFormat/>
    <w:tblPr>
      <w:tblCellMar>
        <w:left w:w="0" w:type="dxa"/>
        <w:top w:w="0" w:type="dxa"/>
        <w:right w:w="0" w:type="dxa"/>
        <w:bottom w:w="0" w:type="dxa"/>
      </w:tblCellMar>
    </w:tblPr>
  </w:style>
  <w:style w:type="paragraph" w:styleId="912" w:customStyle="1">
    <w:name w:val="正文文本缩进1"/>
    <w:basedOn w:val="708"/>
    <w:next w:val="708"/>
    <w:uiPriority w:val="99"/>
    <w:unhideWhenUsed/>
    <w:qFormat/>
    <w:pPr>
      <w:ind w:left="570"/>
      <w:spacing w:line="520" w:lineRule="exact"/>
    </w:pPr>
    <w:rPr>
      <w:rFonts w:ascii="方正仿宋简体" w:eastAsia="方正仿宋简体"/>
      <w:sz w:val="24"/>
      <w:szCs w:val="22"/>
    </w:rPr>
  </w:style>
  <w:style w:type="paragraph" w:styleId="913" w:customStyle="1">
    <w:name w:val="标题 11"/>
    <w:basedOn w:val="914"/>
    <w:next w:val="708"/>
    <w:uiPriority w:val="9"/>
    <w:qFormat/>
    <w:pPr>
      <w:spacing w:before="340" w:after="330" w:line="578" w:lineRule="auto"/>
      <w:outlineLvl w:val="0"/>
    </w:pPr>
    <w:rPr>
      <w:bCs/>
      <w:sz w:val="44"/>
      <w:szCs w:val="44"/>
    </w:rPr>
  </w:style>
  <w:style w:type="paragraph" w:styleId="914" w:customStyle="1">
    <w:name w:val="标题 31"/>
    <w:basedOn w:val="708"/>
    <w:next w:val="708"/>
    <w:uiPriority w:val="9"/>
    <w:unhideWhenUsed/>
    <w:qFormat/>
    <w:pPr>
      <w:keepLines/>
      <w:keepNext/>
      <w:spacing w:before="260" w:after="260" w:line="416" w:lineRule="auto"/>
      <w:outlineLvl w:val="2"/>
    </w:pPr>
    <w:rPr>
      <w:rFonts w:ascii="Times New Roman" w:hAnsi="Times New Roman"/>
      <w:b/>
      <w:sz w:val="32"/>
      <w:szCs w:val="20"/>
    </w:rPr>
  </w:style>
  <w:style w:type="character" w:styleId="915" w:customStyle="1">
    <w:name w:val="超链接1"/>
    <w:basedOn w:val="916"/>
    <w:uiPriority w:val="99"/>
    <w:unhideWhenUsed/>
    <w:qFormat/>
    <w:rPr>
      <w:rFonts w:ascii="Calibri" w:hAnsi="Calibri" w:eastAsia="宋体" w:cs="Times New Roman"/>
      <w:sz w:val="21"/>
      <w:szCs w:val="24"/>
      <w:lang w:val="en-US" w:eastAsia="zh-CN" w:bidi="ar-SA"/>
    </w:rPr>
  </w:style>
  <w:style w:type="character" w:styleId="916" w:customStyle="1">
    <w:name w:val="默认段落字体1"/>
    <w:uiPriority w:val="1"/>
    <w:unhideWhenUsed/>
    <w:qFormat/>
  </w:style>
  <w:style w:type="paragraph" w:styleId="917" w:customStyle="1">
    <w:name w:val="首行缩进"/>
    <w:basedOn w:val="708"/>
    <w:uiPriority w:val="99"/>
    <w:qFormat/>
    <w:pPr>
      <w:ind w:firstLine="480"/>
    </w:pPr>
    <w:rPr>
      <w:rFonts w:ascii="Times New Roman" w:hAnsi="Times New Roman"/>
      <w:szCs w:val="20"/>
      <w:lang w:val="zh-CN"/>
    </w:rPr>
  </w:style>
  <w:style w:type="paragraph" w:styleId="918" w:customStyle="1">
    <w:name w:val="正文缩进1"/>
    <w:basedOn w:val="708"/>
    <w:next w:val="708"/>
    <w:uiPriority w:val="99"/>
    <w:unhideWhenUsed/>
    <w:qFormat/>
    <w:pPr>
      <w:ind w:firstLine="420"/>
      <w:jc w:val="left"/>
    </w:pPr>
    <w:rPr>
      <w:rFonts w:ascii="Times New Roman" w:hAnsi="Times New Roman" w:eastAsia="楷体_GB2312"/>
      <w:sz w:val="24"/>
      <w:szCs w:val="20"/>
    </w:rPr>
  </w:style>
  <w:style w:type="paragraph" w:styleId="919" w:customStyle="1">
    <w:name w:val="列出段落1"/>
    <w:basedOn w:val="708"/>
    <w:uiPriority w:val="99"/>
    <w:unhideWhenUsed/>
    <w:qFormat/>
    <w:pPr>
      <w:ind w:firstLine="420"/>
    </w:pPr>
  </w:style>
  <w:style w:type="paragraph" w:styleId="920" w:customStyle="1">
    <w:name w:val="纯文本1"/>
    <w:basedOn w:val="708"/>
    <w:uiPriority w:val="0"/>
    <w:qFormat/>
    <w:rPr>
      <w:rFonts w:ascii="宋体" w:hAnsi="Courier New" w:eastAsia="楷体_GB2312"/>
      <w:sz w:val="28"/>
      <w:szCs w:val="20"/>
    </w:rPr>
  </w:style>
  <w:style w:type="paragraph" w:styleId="921" w:customStyle="1">
    <w:name w:val="纯文本11"/>
    <w:basedOn w:val="708"/>
    <w:uiPriority w:val="99"/>
    <w:unhideWhenUsed/>
    <w:qFormat/>
    <w:pPr>
      <w:jc w:val="left"/>
      <w:widowControl/>
    </w:pPr>
    <w:rPr>
      <w:rFonts w:ascii="宋体" w:hAnsi="Courier New" w:eastAsia="楷体_GB2312"/>
      <w:sz w:val="26"/>
    </w:rPr>
  </w:style>
  <w:style w:type="paragraph" w:styleId="922" w:customStyle="1">
    <w:name w:val="Plain Text1"/>
    <w:basedOn w:val="708"/>
    <w:uiPriority w:val="99"/>
    <w:qFormat/>
    <w:rPr>
      <w:rFonts w:ascii="宋体" w:hAnsi="宋体"/>
    </w:rPr>
  </w:style>
  <w:style w:type="paragraph" w:styleId="923" w:customStyle="1">
    <w:name w:val="正文文本1"/>
    <w:basedOn w:val="708"/>
    <w:next w:val="708"/>
    <w:uiPriority w:val="99"/>
    <w:unhideWhenUsed/>
    <w:qFormat/>
    <w:pPr>
      <w:spacing w:after="120"/>
    </w:pPr>
    <w:rPr>
      <w:rFonts w:ascii="Times New Roman" w:hAnsi="Times New Roman"/>
    </w:rPr>
  </w:style>
  <w:style w:type="paragraph" w:styleId="924" w:customStyle="1">
    <w:name w:val="列出段落11"/>
    <w:basedOn w:val="708"/>
    <w:uiPriority w:val="34"/>
    <w:qFormat/>
    <w:pPr>
      <w:ind w:firstLine="420"/>
    </w:pPr>
  </w:style>
  <w:style w:type="paragraph" w:styleId="925" w:customStyle="1">
    <w:name w:val="正文首行缩进 21"/>
    <w:basedOn w:val="912"/>
    <w:uiPriority w:val="0"/>
    <w:qFormat/>
    <w:pPr>
      <w:ind w:firstLine="420"/>
    </w:pPr>
  </w:style>
  <w:style w:type="paragraph" w:styleId="926" w:customStyle="1">
    <w:name w:val="页眉1"/>
    <w:basedOn w:val="708"/>
    <w:uiPriority w:val="99"/>
    <w:unhideWhenUsed/>
    <w:qFormat/>
    <w:pPr>
      <w:jc w:val="center"/>
      <w:tabs>
        <w:tab w:val="center" w:pos="4153" w:leader="none"/>
        <w:tab w:val="right" w:pos="8306" w:leader="none"/>
      </w:tabs>
      <w:pBdr>
        <w:bottom w:val="none" w:color="000000" w:sz="0" w:space="1"/>
      </w:pBdr>
    </w:pPr>
    <w:rPr>
      <w:sz w:val="18"/>
      <w:szCs w:val="18"/>
    </w:rPr>
  </w:style>
  <w:style w:type="paragraph" w:styleId="927" w:customStyle="1">
    <w:name w:val="页脚1"/>
    <w:basedOn w:val="708"/>
    <w:uiPriority w:val="99"/>
    <w:unhideWhenUsed/>
    <w:qFormat/>
    <w:pPr>
      <w:jc w:val="left"/>
      <w:tabs>
        <w:tab w:val="center" w:pos="4153" w:leader="none"/>
        <w:tab w:val="right" w:pos="8306" w:leader="none"/>
      </w:tabs>
    </w:pPr>
    <w:rPr>
      <w:sz w:val="18"/>
      <w:szCs w:val="18"/>
    </w:rPr>
  </w:style>
  <w:style w:type="character" w:styleId="928" w:customStyle="1">
    <w:name w:val="页码1"/>
    <w:basedOn w:val="916"/>
    <w:uiPriority w:val="99"/>
    <w:unhideWhenUsed/>
    <w:qFormat/>
  </w:style>
  <w:style w:type="paragraph" w:styleId="929" w:customStyle="1">
    <w:name w:val="正文文本缩进 31"/>
    <w:basedOn w:val="708"/>
    <w:uiPriority w:val="0"/>
    <w:qFormat/>
    <w:pPr>
      <w:ind w:firstLine="480"/>
      <w:spacing w:line="400" w:lineRule="exact"/>
    </w:pPr>
    <w:rPr>
      <w:rFonts w:ascii="Times New Roman" w:hAnsi="Times New Roman"/>
    </w:rPr>
  </w:style>
  <w:style w:type="table" w:styleId="930" w:customStyle="1">
    <w:name w:val="Table Normal"/>
    <w:uiPriority w:val="0"/>
    <w:unhideWhenUsed/>
    <w:qFormat/>
    <w:tblPr>
      <w:tblCellMar>
        <w:left w:w="0" w:type="dxa"/>
        <w:top w:w="0" w:type="dxa"/>
        <w:right w:w="0" w:type="dxa"/>
        <w:bottom w:w="0" w:type="dxa"/>
      </w:tblCellMar>
    </w:tblPr>
  </w:style>
  <w:style w:type="paragraph" w:styleId="931" w:customStyle="1">
    <w:name w:val="Table Text"/>
    <w:basedOn w:val="708"/>
    <w:uiPriority w:val="0"/>
    <w:semiHidden/>
    <w:qFormat/>
    <w:rPr>
      <w:rFonts w:ascii="Arial" w:hAnsi="Arial" w:eastAsia="Arial" w:cs="Arial"/>
      <w:szCs w:val="21"/>
      <w:lang w:eastAsia="en-US"/>
    </w:rPr>
  </w:style>
  <w:style w:type="paragraph" w:styleId="932" w:customStyle="1">
    <w:name w:val="批注框文本1"/>
    <w:basedOn w:val="708"/>
    <w:uiPriority w:val="0"/>
    <w:qFormat/>
    <w:rPr>
      <w:rFonts w:ascii="Times New Roman" w:hAnsi="Times New Roman"/>
      <w:sz w:val="18"/>
      <w:szCs w:val="18"/>
    </w:rPr>
  </w:style>
  <w:style w:type="paragraph" w:styleId="933" w:customStyle="1">
    <w:name w:val="纯文本2"/>
    <w:basedOn w:val="708"/>
    <w:uiPriority w:val="0"/>
    <w:qFormat/>
    <w:rPr>
      <w:rFonts w:hint="eastAsia" w:ascii="宋体" w:hAnsi="Courier New"/>
      <w:szCs w:val="21"/>
    </w:rPr>
  </w:style>
  <w:style w:type="character" w:styleId="934" w:customStyle="1">
    <w:name w:val="15"/>
    <w:basedOn w:val="718"/>
    <w:uiPriority w:val="0"/>
    <w:qFormat/>
    <w:rPr>
      <w:rFonts w:hint="default" w:ascii="Times New Roman" w:hAnsi="Times New Roman" w:cs="Times New Roman"/>
    </w:rPr>
  </w:style>
  <w:style w:type="character" w:styleId="935" w:customStyle="1">
    <w:name w:val="10"/>
    <w:basedOn w:val="718"/>
    <w:uiPriority w:val="0"/>
    <w:qFormat/>
    <w:rPr>
      <w:rFonts w:hint="default" w:ascii="Times New Roman" w:hAnsi="Times New Roman" w:cs="Times New Roman"/>
    </w:rPr>
  </w:style>
  <w:style w:type="paragraph" w:styleId="936" w:customStyle="1">
    <w:name w:val="_Style 1"/>
    <w:basedOn w:val="708"/>
    <w:uiPriority w:val="0"/>
    <w:qFormat/>
    <w:pPr>
      <w:ind w:firstLine="420"/>
      <w:jc w:val="left"/>
      <w:widowControl/>
    </w:pPr>
    <w:rPr>
      <w:sz w:val="24"/>
    </w:rPr>
  </w:style>
  <w:style w:type="paragraph" w:styleId="937" w:customStyle="1">
    <w:name w:val="正文 A"/>
    <w:basedOn w:val="708"/>
    <w:uiPriority w:val="0"/>
    <w:qFormat/>
    <w:rPr>
      <w:color w:val="000000"/>
      <w:sz w:val="26"/>
      <w:szCs w:val="26"/>
    </w:rPr>
  </w:style>
  <w:style w:type="paragraph" w:styleId="938" w:customStyle="1">
    <w:name w:val="NormalIndent"/>
    <w:basedOn w:val="708"/>
    <w:uiPriority w:val="0"/>
    <w:qFormat/>
    <w:pPr>
      <w:ind w:firstLine="420"/>
      <w:jc w:val="left"/>
    </w:pPr>
    <w:rPr>
      <w:sz w:val="24"/>
    </w:rPr>
  </w:style>
  <w:style w:type="paragraph" w:styleId="939" w:customStyle="1">
    <w:name w:val="修订1"/>
    <w:hidden/>
    <w:uiPriority w:val="99"/>
    <w:unhideWhenUsed/>
    <w:qFormat/>
    <w:rPr>
      <w:rFonts w:ascii="Calibri" w:hAnsi="Calibri" w:eastAsia="宋体" w:cs="Times New Roman"/>
      <w:sz w:val="21"/>
      <w:szCs w:val="24"/>
      <w:lang w:val="en-US" w:eastAsia="zh-CN" w:bidi="ar-SA"/>
    </w:rPr>
  </w:style>
  <w:style w:type="numbering" w:styleId="8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dc:creator>
  <cp:lastModifiedBy>汪业超</cp:lastModifiedBy>
  <cp:revision>2</cp:revision>
  <dcterms:created xsi:type="dcterms:W3CDTF">2025-11-12T00:55:00Z</dcterms:created>
  <dcterms:modified xsi:type="dcterms:W3CDTF">2025-12-04T07:07:19Z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8049E909E2AB4EBA8483232A27F697A4_13</vt:lpwstr>
  </property>
  <property fmtid="{D5CDD505-2E9C-101B-9397-08002B2CF9AE}" pid="4" name="KSOTemplateDocerSaveRecord">
    <vt:lpwstr>eyJoZGlkIjoiNDNjMzJiMzg1YTJiODZkNmY1NDMyZDIyZDk5NGQ4ODkiLCJ1c2VySWQiOiI0MzE2MjQ2ODEifQ==</vt:lpwstr>
  </property>
</Properties>
</file>